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133350</wp:posOffset>
            </wp:positionV>
            <wp:extent cx="6205538" cy="4654153"/>
            <wp:effectExtent b="0" l="0" r="0" t="0"/>
            <wp:wrapSquare wrapText="bothSides" distB="0" distT="0" distL="114300" distR="114300"/>
            <wp:docPr descr="http://frenchrevolutionbales.weebly.com/uploads/1/3/7/5/13759502/8283979_orig.jpg" id="1" name="image02.jpg"/>
            <a:graphic>
              <a:graphicData uri="http://schemas.openxmlformats.org/drawingml/2006/picture">
                <pic:pic>
                  <pic:nvPicPr>
                    <pic:cNvPr descr="http://frenchrevolutionbales.weebly.com/uploads/1/3/7/5/13759502/8283979_orig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46541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chart represents economic inequality because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third estate paid 50% of their income in taxes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bourgeoisie had many more opportunities than peasants and the second estate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1400175</wp:posOffset>
            </wp:positionH>
            <wp:positionV relativeFrom="paragraph">
              <wp:posOffset>0</wp:posOffset>
            </wp:positionV>
            <wp:extent cx="2386330" cy="2637155"/>
            <wp:effectExtent b="0" l="0" r="0" t="0"/>
            <wp:wrapSquare wrapText="bothSides" distB="0" distT="0" distL="114300" distR="114300"/>
            <wp:docPr descr="http://mrbpielglobal.edublogs.org/files/2010/11/Guillotine-1a5jdr3.jpg" id="2" name="image03.jpg"/>
            <a:graphic>
              <a:graphicData uri="http://schemas.openxmlformats.org/drawingml/2006/picture">
                <pic:pic>
                  <pic:nvPicPr>
                    <pic:cNvPr descr="http://mrbpielglobal.edublogs.org/files/2010/11/Guillotine-1a5jdr3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637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picture of the guillotine most clearly represents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massive revolts of peasants, merchants, and member of the second estate against the clergy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ruthless (brutal) form of punishment used frequently by Robespierre against “enemies of the revolution”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main punishment used by King Louis XVI against criminals before the revolution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