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B7391" w14:textId="77777777" w:rsidR="004201B5" w:rsidRPr="004201B5" w:rsidRDefault="004201B5" w:rsidP="004201B5">
      <w:pPr>
        <w:spacing w:before="100" w:beforeAutospacing="1" w:after="100" w:afterAutospacing="1" w:line="360" w:lineRule="auto"/>
        <w:outlineLvl w:val="0"/>
        <w:rPr>
          <w:rFonts w:ascii="Arial" w:eastAsia="Times New Roman" w:hAnsi="Arial" w:cs="Arial"/>
          <w:b/>
          <w:bCs/>
          <w:kern w:val="36"/>
          <w:sz w:val="20"/>
          <w:szCs w:val="20"/>
          <w:lang w:eastAsia="es-PE"/>
          <w14:ligatures w14:val="none"/>
        </w:rPr>
      </w:pPr>
      <w:r w:rsidRPr="004201B5">
        <w:rPr>
          <w:rFonts w:ascii="Arial" w:eastAsia="Times New Roman" w:hAnsi="Arial" w:cs="Arial"/>
          <w:b/>
          <w:bCs/>
          <w:kern w:val="36"/>
          <w:sz w:val="20"/>
          <w:szCs w:val="20"/>
          <w:lang w:eastAsia="es-PE"/>
          <w14:ligatures w14:val="none"/>
        </w:rPr>
        <w:t>Protocolo de estudio</w:t>
      </w:r>
    </w:p>
    <w:p w14:paraId="183D640F" w14:textId="77777777" w:rsidR="004201B5" w:rsidRPr="004201B5" w:rsidRDefault="004201B5" w:rsidP="004201B5">
      <w:pPr>
        <w:spacing w:before="100" w:beforeAutospacing="1" w:after="100" w:afterAutospacing="1" w:line="360" w:lineRule="auto"/>
        <w:outlineLvl w:val="1"/>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Título</w:t>
      </w:r>
    </w:p>
    <w:p w14:paraId="063459E3"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Validación externa, recalibración y utilidad clínica del </w:t>
      </w:r>
      <w:proofErr w:type="spellStart"/>
      <w:r w:rsidRPr="004201B5">
        <w:rPr>
          <w:rFonts w:ascii="Arial" w:eastAsia="Times New Roman" w:hAnsi="Arial" w:cs="Arial"/>
          <w:kern w:val="0"/>
          <w:sz w:val="20"/>
          <w:szCs w:val="20"/>
          <w:lang w:eastAsia="es-PE"/>
          <w14:ligatures w14:val="none"/>
        </w:rPr>
        <w:t>Kidney</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Failure</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Risk</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Equation</w:t>
      </w:r>
      <w:proofErr w:type="spellEnd"/>
      <w:r w:rsidRPr="004201B5">
        <w:rPr>
          <w:rFonts w:ascii="Arial" w:eastAsia="Times New Roman" w:hAnsi="Arial" w:cs="Arial"/>
          <w:kern w:val="0"/>
          <w:sz w:val="20"/>
          <w:szCs w:val="20"/>
          <w:lang w:eastAsia="es-PE"/>
          <w14:ligatures w14:val="none"/>
        </w:rPr>
        <w:t xml:space="preserve"> en América Latina: protocolo de un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con datos individuales de participantes (IPD meta-</w:t>
      </w:r>
      <w:proofErr w:type="spellStart"/>
      <w:r w:rsidRPr="004201B5">
        <w:rPr>
          <w:rFonts w:ascii="Arial" w:eastAsia="Times New Roman" w:hAnsi="Arial" w:cs="Arial"/>
          <w:kern w:val="0"/>
          <w:sz w:val="20"/>
          <w:szCs w:val="20"/>
          <w:lang w:eastAsia="es-PE"/>
          <w14:ligatures w14:val="none"/>
        </w:rPr>
        <w:t>analysis</w:t>
      </w:r>
      <w:proofErr w:type="spellEnd"/>
      <w:r w:rsidRPr="004201B5">
        <w:rPr>
          <w:rFonts w:ascii="Arial" w:eastAsia="Times New Roman" w:hAnsi="Arial" w:cs="Arial"/>
          <w:kern w:val="0"/>
          <w:sz w:val="20"/>
          <w:szCs w:val="20"/>
          <w:lang w:eastAsia="es-PE"/>
          <w14:ligatures w14:val="none"/>
        </w:rPr>
        <w:t>)</w:t>
      </w:r>
    </w:p>
    <w:p w14:paraId="54A6DC4B" w14:textId="77777777" w:rsidR="004201B5" w:rsidRPr="004201B5" w:rsidRDefault="004201B5" w:rsidP="004201B5">
      <w:pPr>
        <w:spacing w:before="100" w:beforeAutospacing="1" w:after="100" w:afterAutospacing="1" w:line="360" w:lineRule="auto"/>
        <w:outlineLvl w:val="1"/>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Introducción</w:t>
      </w:r>
    </w:p>
    <w:p w14:paraId="205E0988" w14:textId="48AD4338"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La enfermedad renal crónica (ERC) constituye un problema de salud pública creciente a nivel mundial y representa una causa importante de morbimortalidad, utilización de servicios de salud y costos sanitarios</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 En América Latina, la carga de la ERC se ve amplificada por desigualdades en el acceso a atención especializada, retrasos en la derivación a nefrología y limitaciones estructurales para la planificación oportuna de la terapia de reemplazo renal</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 En este contexto, los modelos pronósticos pueden desempeñar un rol clave para apoyar decisiones clínicas y de salud pública, siempre que demuestren un desempeño adecuado en las poblaciones donde se pretende utilizarlos</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w:t>
      </w:r>
    </w:p>
    <w:p w14:paraId="52A0698B" w14:textId="2A95E5F8"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El </w:t>
      </w:r>
      <w:proofErr w:type="spellStart"/>
      <w:r w:rsidRPr="004201B5">
        <w:rPr>
          <w:rFonts w:ascii="Arial" w:eastAsia="Times New Roman" w:hAnsi="Arial" w:cs="Arial"/>
          <w:kern w:val="0"/>
          <w:sz w:val="20"/>
          <w:szCs w:val="20"/>
          <w:lang w:eastAsia="es-PE"/>
          <w14:ligatures w14:val="none"/>
        </w:rPr>
        <w:t>Kidney</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Failure</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Risk</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Equation</w:t>
      </w:r>
      <w:proofErr w:type="spellEnd"/>
      <w:r w:rsidRPr="004201B5">
        <w:rPr>
          <w:rFonts w:ascii="Arial" w:eastAsia="Times New Roman" w:hAnsi="Arial" w:cs="Arial"/>
          <w:kern w:val="0"/>
          <w:sz w:val="20"/>
          <w:szCs w:val="20"/>
          <w:lang w:eastAsia="es-PE"/>
          <w14:ligatures w14:val="none"/>
        </w:rPr>
        <w:t xml:space="preserve"> (KFRE) es uno de los modelos pronósticos más ampliamente utilizados para estimar el riesgo absoluto de falla renal a corto y mediano plazo</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 xml:space="preserve">. Diversas guías clínicas internacionales recomiendan su uso para apoyar decisiones como la derivación a nefrología, la intensificación de estrategias </w:t>
      </w:r>
      <w:proofErr w:type="spellStart"/>
      <w:r w:rsidRPr="004201B5">
        <w:rPr>
          <w:rFonts w:ascii="Arial" w:eastAsia="Times New Roman" w:hAnsi="Arial" w:cs="Arial"/>
          <w:kern w:val="0"/>
          <w:sz w:val="20"/>
          <w:szCs w:val="20"/>
          <w:lang w:eastAsia="es-PE"/>
          <w14:ligatures w14:val="none"/>
        </w:rPr>
        <w:t>nefroprotectoras</w:t>
      </w:r>
      <w:proofErr w:type="spellEnd"/>
      <w:r w:rsidRPr="004201B5">
        <w:rPr>
          <w:rFonts w:ascii="Arial" w:eastAsia="Times New Roman" w:hAnsi="Arial" w:cs="Arial"/>
          <w:kern w:val="0"/>
          <w:sz w:val="20"/>
          <w:szCs w:val="20"/>
          <w:lang w:eastAsia="es-PE"/>
          <w14:ligatures w14:val="none"/>
        </w:rPr>
        <w:t xml:space="preserve"> y la planificación de terapia de reemplazo renal</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 Sin embargo, el KFRE fue desarrollado y validado principalmente en poblaciones de países de altos ingresos, y la evidencia sobre su validez externa en América Latina es escasa, fragmentada y heterogénea</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 Estudios aislados en la región han mostrado problemas de calibración, lo que plantea interrogantes sobre su transportabilidad y utilidad clínica en contextos con perfiles de riesgo y riesgos competitivos distintos</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w:t>
      </w:r>
    </w:p>
    <w:p w14:paraId="6EFDC9BE" w14:textId="14AC7FCD"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La validación externa de modelos pronósticos realizada en una sola cohorte puede ser insuficiente para evaluar su desempeño en contextos diversos</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 xml:space="preserve">. En este sentido, los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con datos individuales de participantes (IPD meta-</w:t>
      </w:r>
      <w:proofErr w:type="spellStart"/>
      <w:r w:rsidRPr="004201B5">
        <w:rPr>
          <w:rFonts w:ascii="Arial" w:eastAsia="Times New Roman" w:hAnsi="Arial" w:cs="Arial"/>
          <w:kern w:val="0"/>
          <w:sz w:val="20"/>
          <w:szCs w:val="20"/>
          <w:lang w:eastAsia="es-PE"/>
          <w14:ligatures w14:val="none"/>
        </w:rPr>
        <w:t>analysis</w:t>
      </w:r>
      <w:proofErr w:type="spellEnd"/>
      <w:r w:rsidRPr="004201B5">
        <w:rPr>
          <w:rFonts w:ascii="Arial" w:eastAsia="Times New Roman" w:hAnsi="Arial" w:cs="Arial"/>
          <w:kern w:val="0"/>
          <w:sz w:val="20"/>
          <w:szCs w:val="20"/>
          <w:lang w:eastAsia="es-PE"/>
          <w14:ligatures w14:val="none"/>
        </w:rPr>
        <w:t>) representan el enfoque metodológico de referencia para evaluar de manera rigurosa la discriminación, calibración y utilidad clínica de modelos pronósticos a través de múltiples poblaciones, permitiendo además cuantificar la heterogeneidad entre estudios, explorar estrategias de recalibración y estimar el desempeño esperado en nuevas poblaciones</w:t>
      </w:r>
      <w:r>
        <w:rPr>
          <w:rFonts w:ascii="Arial" w:eastAsia="Times New Roman" w:hAnsi="Arial" w:cs="Arial"/>
          <w:kern w:val="0"/>
          <w:sz w:val="20"/>
          <w:szCs w:val="20"/>
          <w:lang w:eastAsia="es-PE"/>
          <w14:ligatures w14:val="none"/>
        </w:rPr>
        <w:t xml:space="preserve"> (</w:t>
      </w:r>
      <w:r w:rsidRPr="004201B5">
        <w:rPr>
          <w:rFonts w:ascii="Arial" w:eastAsia="Times New Roman" w:hAnsi="Arial" w:cs="Arial"/>
          <w:kern w:val="0"/>
          <w:sz w:val="20"/>
          <w:szCs w:val="20"/>
          <w:highlight w:val="yellow"/>
          <w:lang w:eastAsia="es-PE"/>
          <w14:ligatures w14:val="none"/>
        </w:rPr>
        <w:t>REF</w:t>
      </w:r>
      <w:r>
        <w:rPr>
          <w:rFonts w:ascii="Arial" w:eastAsia="Times New Roman" w:hAnsi="Arial" w:cs="Arial"/>
          <w:kern w:val="0"/>
          <w:sz w:val="20"/>
          <w:szCs w:val="20"/>
          <w:lang w:eastAsia="es-PE"/>
          <w14:ligatures w14:val="none"/>
        </w:rPr>
        <w:t>)</w:t>
      </w:r>
      <w:r w:rsidRPr="004201B5">
        <w:rPr>
          <w:rFonts w:ascii="Arial" w:eastAsia="Times New Roman" w:hAnsi="Arial" w:cs="Arial"/>
          <w:kern w:val="0"/>
          <w:sz w:val="20"/>
          <w:szCs w:val="20"/>
          <w:lang w:eastAsia="es-PE"/>
          <w14:ligatures w14:val="none"/>
        </w:rPr>
        <w:t>.</w:t>
      </w:r>
    </w:p>
    <w:p w14:paraId="19316C78"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Adicionalmente, un modelo pronóstico con buen desempeño estadístico no necesariamente se traduce en decisiones clínicas más beneficiosas. Por ello, la evaluación de utilidad clínica mediante análisis de curvas de decisión se ha consolidado como un componente esencial en la evaluación integral de modelos pronósticos.</w:t>
      </w:r>
    </w:p>
    <w:p w14:paraId="181B078C"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lastRenderedPageBreak/>
        <w:t xml:space="preserve">El presente protocolo describe el diseño metodológico de un IPD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destinado a evaluar la validez externa, recalibración y utilidad clínica del KFRE en poblaciones de América Latina, integrando evidencia identificada mediante una búsqueda sistemática de la literatura y colaboración directa con investigadores para la obtención de datos individuales.</w:t>
      </w:r>
    </w:p>
    <w:p w14:paraId="0F769676" w14:textId="77777777" w:rsidR="004201B5" w:rsidRPr="004201B5" w:rsidRDefault="004201B5" w:rsidP="004201B5">
      <w:pPr>
        <w:spacing w:before="100" w:beforeAutospacing="1" w:after="100" w:afterAutospacing="1" w:line="360" w:lineRule="auto"/>
        <w:outlineLvl w:val="1"/>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Objetivos</w:t>
      </w:r>
    </w:p>
    <w:p w14:paraId="5376F001"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El objetivo principal es evaluar el desempeño pronóstico del </w:t>
      </w:r>
      <w:proofErr w:type="spellStart"/>
      <w:r w:rsidRPr="004201B5">
        <w:rPr>
          <w:rFonts w:ascii="Arial" w:eastAsia="Times New Roman" w:hAnsi="Arial" w:cs="Arial"/>
          <w:kern w:val="0"/>
          <w:sz w:val="20"/>
          <w:szCs w:val="20"/>
          <w:lang w:eastAsia="es-PE"/>
          <w14:ligatures w14:val="none"/>
        </w:rPr>
        <w:t>Kidney</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Failure</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Risk</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Equation</w:t>
      </w:r>
      <w:proofErr w:type="spellEnd"/>
      <w:r w:rsidRPr="004201B5">
        <w:rPr>
          <w:rFonts w:ascii="Arial" w:eastAsia="Times New Roman" w:hAnsi="Arial" w:cs="Arial"/>
          <w:kern w:val="0"/>
          <w:sz w:val="20"/>
          <w:szCs w:val="20"/>
          <w:lang w:eastAsia="es-PE"/>
          <w14:ligatures w14:val="none"/>
        </w:rPr>
        <w:t xml:space="preserve"> en poblaciones de América Latina mediante un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con datos individuales de participantes.</w:t>
      </w:r>
    </w:p>
    <w:p w14:paraId="14E2269D"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Los objetivos específicos son evaluar la discriminación y calibración del KFRE en múltiples cohortes latinoamericanas; cuantificar la heterogeneidad del desempeño entre estudios; explorar y aplicar estrategias de recalibración cuando se identifique </w:t>
      </w:r>
      <w:proofErr w:type="spellStart"/>
      <w:r w:rsidRPr="004201B5">
        <w:rPr>
          <w:rFonts w:ascii="Arial" w:eastAsia="Times New Roman" w:hAnsi="Arial" w:cs="Arial"/>
          <w:kern w:val="0"/>
          <w:sz w:val="20"/>
          <w:szCs w:val="20"/>
          <w:lang w:eastAsia="es-PE"/>
          <w14:ligatures w14:val="none"/>
        </w:rPr>
        <w:t>miscalibración</w:t>
      </w:r>
      <w:proofErr w:type="spellEnd"/>
      <w:r w:rsidRPr="004201B5">
        <w:rPr>
          <w:rFonts w:ascii="Arial" w:eastAsia="Times New Roman" w:hAnsi="Arial" w:cs="Arial"/>
          <w:kern w:val="0"/>
          <w:sz w:val="20"/>
          <w:szCs w:val="20"/>
          <w:lang w:eastAsia="es-PE"/>
          <w14:ligatures w14:val="none"/>
        </w:rPr>
        <w:t xml:space="preserve"> relevante; y evaluar la utilidad clínica del KFRE original y recalibrado para apoyar decisiones clínicas relacionadas con la derivación a nefrología y la planificación de terapia de reemplazo renal.</w:t>
      </w:r>
    </w:p>
    <w:p w14:paraId="1099D7B3" w14:textId="77777777" w:rsidR="004201B5" w:rsidRPr="004201B5" w:rsidRDefault="004201B5" w:rsidP="004201B5">
      <w:pPr>
        <w:spacing w:before="100" w:beforeAutospacing="1" w:after="100" w:afterAutospacing="1" w:line="360" w:lineRule="auto"/>
        <w:outlineLvl w:val="1"/>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Métodos</w:t>
      </w:r>
    </w:p>
    <w:p w14:paraId="78F4B2A9"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Diseño del estudio</w:t>
      </w:r>
    </w:p>
    <w:p w14:paraId="125F5133" w14:textId="5BA65A2C"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Se llevará a cabo un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con datos individuales de participantes (IPD meta-</w:t>
      </w:r>
      <w:proofErr w:type="spellStart"/>
      <w:r w:rsidRPr="004201B5">
        <w:rPr>
          <w:rFonts w:ascii="Arial" w:eastAsia="Times New Roman" w:hAnsi="Arial" w:cs="Arial"/>
          <w:kern w:val="0"/>
          <w:sz w:val="20"/>
          <w:szCs w:val="20"/>
          <w:lang w:eastAsia="es-PE"/>
          <w14:ligatures w14:val="none"/>
        </w:rPr>
        <w:t>analysis</w:t>
      </w:r>
      <w:proofErr w:type="spellEnd"/>
      <w:r w:rsidRPr="004201B5">
        <w:rPr>
          <w:rFonts w:ascii="Arial" w:eastAsia="Times New Roman" w:hAnsi="Arial" w:cs="Arial"/>
          <w:kern w:val="0"/>
          <w:sz w:val="20"/>
          <w:szCs w:val="20"/>
          <w:lang w:eastAsia="es-PE"/>
          <w14:ligatures w14:val="none"/>
        </w:rPr>
        <w:t xml:space="preserve">) de estudios observacionales, prospectivos y retrospectivos. El estudio seguirá las recomendaciones metodológicas para IPD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de modelos pronósticos y se reportará de acuerdo con las guías PRISMA-IPD y TRIPOD-IPD. El protocolo será registrado prospectivamente en PROSPERO y se someterá para publicación como protocolo metodológico en una revista revisada por pares.</w:t>
      </w:r>
    </w:p>
    <w:p w14:paraId="6DBAC96C"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Identificación de estudios y búsqueda sistemática</w:t>
      </w:r>
    </w:p>
    <w:p w14:paraId="31CE2168"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Se realizará una búsqueda sistemática de la literatura científica para identificar estudios potencialmente elegibles que hayan evaluado pacientes con enfermedad renal crónica y que dispongan de los datos necesarios para aplicar el KFRE. La búsqueda se efectuará en MEDLINE (vía PubMed), </w:t>
      </w:r>
      <w:proofErr w:type="spellStart"/>
      <w:r w:rsidRPr="004201B5">
        <w:rPr>
          <w:rFonts w:ascii="Arial" w:eastAsia="Times New Roman" w:hAnsi="Arial" w:cs="Arial"/>
          <w:kern w:val="0"/>
          <w:sz w:val="20"/>
          <w:szCs w:val="20"/>
          <w:lang w:eastAsia="es-PE"/>
          <w14:ligatures w14:val="none"/>
        </w:rPr>
        <w:t>Embase</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Scopus</w:t>
      </w:r>
      <w:proofErr w:type="spellEnd"/>
      <w:r w:rsidRPr="004201B5">
        <w:rPr>
          <w:rFonts w:ascii="Arial" w:eastAsia="Times New Roman" w:hAnsi="Arial" w:cs="Arial"/>
          <w:kern w:val="0"/>
          <w:sz w:val="20"/>
          <w:szCs w:val="20"/>
          <w:lang w:eastAsia="es-PE"/>
          <w14:ligatures w14:val="none"/>
        </w:rPr>
        <w:t xml:space="preserve"> y Web </w:t>
      </w:r>
      <w:proofErr w:type="spellStart"/>
      <w:r w:rsidRPr="004201B5">
        <w:rPr>
          <w:rFonts w:ascii="Arial" w:eastAsia="Times New Roman" w:hAnsi="Arial" w:cs="Arial"/>
          <w:kern w:val="0"/>
          <w:sz w:val="20"/>
          <w:szCs w:val="20"/>
          <w:lang w:eastAsia="es-PE"/>
          <w14:ligatures w14:val="none"/>
        </w:rPr>
        <w:t>of</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Science</w:t>
      </w:r>
      <w:proofErr w:type="spellEnd"/>
      <w:r w:rsidRPr="004201B5">
        <w:rPr>
          <w:rFonts w:ascii="Arial" w:eastAsia="Times New Roman" w:hAnsi="Arial" w:cs="Arial"/>
          <w:kern w:val="0"/>
          <w:sz w:val="20"/>
          <w:szCs w:val="20"/>
          <w:lang w:eastAsia="es-PE"/>
          <w14:ligatures w14:val="none"/>
        </w:rPr>
        <w:t xml:space="preserve"> desde la publicación original del KFRE hasta la fecha más reciente disponible.</w:t>
      </w:r>
    </w:p>
    <w:p w14:paraId="13283875" w14:textId="430AE50E"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La estrategia de búsqueda combinará términos relacionados con enfermedad renal crónica, falla renal, modelos pronósticos y </w:t>
      </w:r>
      <w:proofErr w:type="spellStart"/>
      <w:r w:rsidRPr="004201B5">
        <w:rPr>
          <w:rFonts w:ascii="Arial" w:eastAsia="Times New Roman" w:hAnsi="Arial" w:cs="Arial"/>
          <w:kern w:val="0"/>
          <w:sz w:val="20"/>
          <w:szCs w:val="20"/>
          <w:lang w:eastAsia="es-PE"/>
          <w14:ligatures w14:val="none"/>
        </w:rPr>
        <w:t>Kidney</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Failure</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Risk</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Equation</w:t>
      </w:r>
      <w:proofErr w:type="spellEnd"/>
      <w:r w:rsidRPr="004201B5">
        <w:rPr>
          <w:rFonts w:ascii="Arial" w:eastAsia="Times New Roman" w:hAnsi="Arial" w:cs="Arial"/>
          <w:kern w:val="0"/>
          <w:sz w:val="20"/>
          <w:szCs w:val="20"/>
          <w:lang w:eastAsia="es-PE"/>
          <w14:ligatures w14:val="none"/>
        </w:rPr>
        <w:t xml:space="preserve">, sin restricciones por idioma. Se revisarán además las listas de referencias de estudios relevantes y revisiones sistemáticas previas, así como literatura gris, incluyendo repositorios institucionales y actas de congresos de nefrología. Dos revisores evaluarán de manera independiente los títulos y resúmenes identificados, seguidos de la revisión a texto completo de los estudios potencialmente elegibles. </w:t>
      </w:r>
      <w:r w:rsidRPr="004201B5">
        <w:rPr>
          <w:rFonts w:ascii="Arial" w:eastAsia="Times New Roman" w:hAnsi="Arial" w:cs="Arial"/>
          <w:kern w:val="0"/>
          <w:sz w:val="20"/>
          <w:szCs w:val="20"/>
          <w:lang w:eastAsia="es-PE"/>
          <w14:ligatures w14:val="none"/>
        </w:rPr>
        <w:lastRenderedPageBreak/>
        <w:t>Las discrepancias se resolverán por consenso o mediante un tercer revisor. El proceso de selección se documentará mediante un diagrama de flujo PRISMA-IPD.</w:t>
      </w:r>
    </w:p>
    <w:p w14:paraId="090A982E"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Obtención de datos individuales y colaboración con investigadores</w:t>
      </w:r>
    </w:p>
    <w:p w14:paraId="767CCE9C"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Para todos los estudios elegibles identificados mediante la búsqueda sistemática, se contactará a los autores correspondientes o investigadores principales con el objetivo de invitarlos a participar en el IPD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y compartir datos individuales anonimizados. El contacto se realizará mediante correo electrónico institucional y se proporcionará información detallada sobre los objetivos del estudio, el plan de análisis estadístico, las medidas de seguridad y confidencialidad de los datos, y las políticas de autoría y reconocimiento académico.</w:t>
      </w:r>
    </w:p>
    <w:p w14:paraId="3B90C2EF" w14:textId="7697558C"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Cuando los datos individuales no puedan ser compartidos por restricciones éticas, legales o institucionales, esta situación será documentada y se evaluará el posible sesgo de disponibilidad de datos. La participación de los investigadores colaboradores y los criterios de autoría se definirán de acuerdo con las recomendaciones internacionales para IPD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w:t>
      </w:r>
    </w:p>
    <w:p w14:paraId="3B931827"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Criterios de elegibilidad de estudios</w:t>
      </w:r>
    </w:p>
    <w:p w14:paraId="7B54C49B" w14:textId="43F13B7D"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Se incluirán estudios observacionales que incluyan pacientes adultos con enfermedad renal crónica en estadios G3 a G4, con seguimiento longitudinal para el desenlace de falla renal y disponibilidad de las variables necesarias para calcular el KFRE de cuatro variables. Se excluirán estudios compuestos exclusivamente por pacientes en estadio G5, aquellos con definiciones incompatibles del desenlace principal o en los que no sea posible armonizar las variables requeridas.</w:t>
      </w:r>
    </w:p>
    <w:p w14:paraId="7E07710E"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Población de estudio</w:t>
      </w:r>
    </w:p>
    <w:p w14:paraId="6E5AF8F4" w14:textId="193F9879"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La población analítica estará conformada por individuos de 18 años o más con enfermedad renal crónica en estadios G3a, G3b o G4, evaluados en contextos ambulatorios. El tiempo cero se definirá como la fecha de la primera evaluación válida en la que se disponga de todas las variables del KFRE. Los participantes serán seguidos hasta la ocurrencia de falla renal, muerte o censura administrativa.</w:t>
      </w:r>
    </w:p>
    <w:p w14:paraId="330DACE4"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Modelo pronóstico evaluado</w:t>
      </w:r>
    </w:p>
    <w:p w14:paraId="753ACC6E" w14:textId="2E68CC75"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El modelo pronóstico de interés será el </w:t>
      </w:r>
      <w:proofErr w:type="spellStart"/>
      <w:r w:rsidRPr="004201B5">
        <w:rPr>
          <w:rFonts w:ascii="Arial" w:eastAsia="Times New Roman" w:hAnsi="Arial" w:cs="Arial"/>
          <w:kern w:val="0"/>
          <w:sz w:val="20"/>
          <w:szCs w:val="20"/>
          <w:lang w:eastAsia="es-PE"/>
          <w14:ligatures w14:val="none"/>
        </w:rPr>
        <w:t>Kidney</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Failure</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Risk</w:t>
      </w:r>
      <w:proofErr w:type="spellEnd"/>
      <w:r w:rsidRPr="004201B5">
        <w:rPr>
          <w:rFonts w:ascii="Arial" w:eastAsia="Times New Roman" w:hAnsi="Arial" w:cs="Arial"/>
          <w:kern w:val="0"/>
          <w:sz w:val="20"/>
          <w:szCs w:val="20"/>
          <w:lang w:eastAsia="es-PE"/>
          <w14:ligatures w14:val="none"/>
        </w:rPr>
        <w:t xml:space="preserve"> </w:t>
      </w:r>
      <w:proofErr w:type="spellStart"/>
      <w:r w:rsidRPr="004201B5">
        <w:rPr>
          <w:rFonts w:ascii="Arial" w:eastAsia="Times New Roman" w:hAnsi="Arial" w:cs="Arial"/>
          <w:kern w:val="0"/>
          <w:sz w:val="20"/>
          <w:szCs w:val="20"/>
          <w:lang w:eastAsia="es-PE"/>
          <w14:ligatures w14:val="none"/>
        </w:rPr>
        <w:t>Equation</w:t>
      </w:r>
      <w:proofErr w:type="spellEnd"/>
      <w:r w:rsidRPr="004201B5">
        <w:rPr>
          <w:rFonts w:ascii="Arial" w:eastAsia="Times New Roman" w:hAnsi="Arial" w:cs="Arial"/>
          <w:kern w:val="0"/>
          <w:sz w:val="20"/>
          <w:szCs w:val="20"/>
          <w:lang w:eastAsia="es-PE"/>
          <w14:ligatures w14:val="none"/>
        </w:rPr>
        <w:t xml:space="preserve"> en su versión de cuatro variables, que estima el riesgo absoluto de falla renal a dos y cinco años. En una primera etapa, el modelo se aplicará utilizando los coeficientes originales, sin modificación, con el objetivo de realizar una validación externa estricta.</w:t>
      </w:r>
    </w:p>
    <w:p w14:paraId="6BC19CA8"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lastRenderedPageBreak/>
        <w:t>Definición del desenlace y riesgos competitivos</w:t>
      </w:r>
    </w:p>
    <w:p w14:paraId="1005B93D" w14:textId="365495A9" w:rsid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El desenlace principal será el tiempo a falla renal, definida como el inicio de diálisis crónica o el diagnóstico clínico confirmado de enfermedad renal terminal. La muerte por cualquier causa sin falla renal previa será considerada un riesgo competitivo y se incorporará explícitamente en los análisis cuando corresponda.</w:t>
      </w:r>
    </w:p>
    <w:p w14:paraId="1EFCD92C"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Manejo de definiciones operacionales y armonización de variables</w:t>
      </w:r>
    </w:p>
    <w:p w14:paraId="3AE927E5"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Dado que las cohortes incluidas pueden diferir en las definiciones operacionales del desenlace y de algunas variables clínicas, se adoptará un enfoque explícito de armonización. Para el desenlace principal de falla renal se definirá una definición operativa objetivo, consistente en el inicio de terapia de reemplazo renal crónica o el diagnóstico clínico confirmado de enfermedad renal terminal. Las definiciones locales utilizadas en cada cohorte serán revisadas y mapeadas hacia esta definición objetivo mediante reglas de armonización previamente especificadas. Las diferencias en las definiciones operacionales serán documentadas y consideradas como una potencial fuente de heterogeneidad entre estudios. Cuando una definición no sea razonablemente compatible, la cohorte correspondiente podrá excluirse del análisis principal o incluirse únicamente en análisis de sensibilidad.</w:t>
      </w:r>
    </w:p>
    <w:p w14:paraId="3E6A37CE" w14:textId="771146B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Para las variables predictoras, se aplicarán procedimientos de armonización utilizando definiciones clínicas estandarizadas. Cuando sea necesario, se recalcularán variables derivadas, como la tasa de filtración glomerular estimada, utilizando fórmulas uniformes. Todas las decisiones de armonización serán documentadas de manera transparente.</w:t>
      </w:r>
    </w:p>
    <w:p w14:paraId="1CE2FC4E" w14:textId="5845AD00"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Manejo de datos faltantes e imputación múltiple</w:t>
      </w:r>
    </w:p>
    <w:p w14:paraId="378DD4B5" w14:textId="4AF5F1AF"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Los datos faltantes se manejarán mediante imputación múltiple bajo el supuesto de datos faltantes al azar. Dado que el análisis principal se realizará utilizando un enfoque de IPD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en dos etapas, la imputación múltiple se llevará a cabo por separado dentro de cada cohorte, preservando la estructura original de los estudios. Los modelos de imputación incluirán todas las variables predictoras del KFRE, el tiempo al evento, el indicador del evento y el </w:t>
      </w:r>
      <w:proofErr w:type="spellStart"/>
      <w:r w:rsidRPr="004201B5">
        <w:rPr>
          <w:rFonts w:ascii="Arial" w:eastAsia="Times New Roman" w:hAnsi="Arial" w:cs="Arial"/>
          <w:kern w:val="0"/>
          <w:sz w:val="20"/>
          <w:szCs w:val="20"/>
          <w:lang w:eastAsia="es-PE"/>
          <w14:ligatures w14:val="none"/>
        </w:rPr>
        <w:t>hazard</w:t>
      </w:r>
      <w:proofErr w:type="spellEnd"/>
      <w:r w:rsidRPr="004201B5">
        <w:rPr>
          <w:rFonts w:ascii="Arial" w:eastAsia="Times New Roman" w:hAnsi="Arial" w:cs="Arial"/>
          <w:kern w:val="0"/>
          <w:sz w:val="20"/>
          <w:szCs w:val="20"/>
          <w:lang w:eastAsia="es-PE"/>
          <w14:ligatures w14:val="none"/>
        </w:rPr>
        <w:t xml:space="preserve"> acumulado basal, así como interacciones entre los predictores y el </w:t>
      </w:r>
      <w:proofErr w:type="spellStart"/>
      <w:r w:rsidRPr="004201B5">
        <w:rPr>
          <w:rFonts w:ascii="Arial" w:eastAsia="Times New Roman" w:hAnsi="Arial" w:cs="Arial"/>
          <w:kern w:val="0"/>
          <w:sz w:val="20"/>
          <w:szCs w:val="20"/>
          <w:lang w:eastAsia="es-PE"/>
          <w14:ligatures w14:val="none"/>
        </w:rPr>
        <w:t>hazard</w:t>
      </w:r>
      <w:proofErr w:type="spellEnd"/>
      <w:r w:rsidRPr="004201B5">
        <w:rPr>
          <w:rFonts w:ascii="Arial" w:eastAsia="Times New Roman" w:hAnsi="Arial" w:cs="Arial"/>
          <w:kern w:val="0"/>
          <w:sz w:val="20"/>
          <w:szCs w:val="20"/>
          <w:lang w:eastAsia="es-PE"/>
          <w14:ligatures w14:val="none"/>
        </w:rPr>
        <w:t xml:space="preserve"> acumulado basal, con el fin de asegurar la congenialidad o </w:t>
      </w:r>
      <w:proofErr w:type="spellStart"/>
      <w:r w:rsidRPr="004201B5">
        <w:rPr>
          <w:rFonts w:ascii="Arial" w:eastAsia="Times New Roman" w:hAnsi="Arial" w:cs="Arial"/>
          <w:kern w:val="0"/>
          <w:sz w:val="20"/>
          <w:szCs w:val="20"/>
          <w:lang w:eastAsia="es-PE"/>
          <w14:ligatures w14:val="none"/>
        </w:rPr>
        <w:t>semicompatibilidad</w:t>
      </w:r>
      <w:proofErr w:type="spellEnd"/>
      <w:r w:rsidRPr="004201B5">
        <w:rPr>
          <w:rFonts w:ascii="Arial" w:eastAsia="Times New Roman" w:hAnsi="Arial" w:cs="Arial"/>
          <w:kern w:val="0"/>
          <w:sz w:val="20"/>
          <w:szCs w:val="20"/>
          <w:lang w:eastAsia="es-PE"/>
          <w14:ligatures w14:val="none"/>
        </w:rPr>
        <w:t xml:space="preserve"> con los modelos sustantivos de supervivencia. Se generarán múltiples conjuntos imputados y los resultados finales se combinarán utilizando las reglas de </w:t>
      </w:r>
      <w:proofErr w:type="spellStart"/>
      <w:r w:rsidRPr="004201B5">
        <w:rPr>
          <w:rFonts w:ascii="Arial" w:eastAsia="Times New Roman" w:hAnsi="Arial" w:cs="Arial"/>
          <w:kern w:val="0"/>
          <w:sz w:val="20"/>
          <w:szCs w:val="20"/>
          <w:lang w:eastAsia="es-PE"/>
          <w14:ligatures w14:val="none"/>
        </w:rPr>
        <w:t>Rubin</w:t>
      </w:r>
      <w:proofErr w:type="spellEnd"/>
      <w:r w:rsidRPr="004201B5">
        <w:rPr>
          <w:rFonts w:ascii="Arial" w:eastAsia="Times New Roman" w:hAnsi="Arial" w:cs="Arial"/>
          <w:kern w:val="0"/>
          <w:sz w:val="20"/>
          <w:szCs w:val="20"/>
          <w:lang w:eastAsia="es-PE"/>
          <w14:ligatures w14:val="none"/>
        </w:rPr>
        <w:t>.</w:t>
      </w:r>
    </w:p>
    <w:p w14:paraId="2E5F7818"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 xml:space="preserve">Enfoque de IPD </w:t>
      </w:r>
      <w:proofErr w:type="gramStart"/>
      <w:r w:rsidRPr="004201B5">
        <w:rPr>
          <w:rFonts w:ascii="Arial" w:eastAsia="Times New Roman" w:hAnsi="Arial" w:cs="Arial"/>
          <w:b/>
          <w:bCs/>
          <w:kern w:val="0"/>
          <w:sz w:val="20"/>
          <w:szCs w:val="20"/>
          <w:lang w:eastAsia="es-PE"/>
          <w14:ligatures w14:val="none"/>
        </w:rPr>
        <w:t>meta-análisis</w:t>
      </w:r>
      <w:proofErr w:type="gramEnd"/>
      <w:r w:rsidRPr="004201B5">
        <w:rPr>
          <w:rFonts w:ascii="Arial" w:eastAsia="Times New Roman" w:hAnsi="Arial" w:cs="Arial"/>
          <w:b/>
          <w:bCs/>
          <w:kern w:val="0"/>
          <w:sz w:val="20"/>
          <w:szCs w:val="20"/>
          <w:lang w:eastAsia="es-PE"/>
          <w14:ligatures w14:val="none"/>
        </w:rPr>
        <w:t xml:space="preserve"> y justificación metodológica</w:t>
      </w:r>
    </w:p>
    <w:p w14:paraId="1F8F00AB"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El análisis principal se realizará utilizando un enfoque de IPD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en dos etapas. En la primera etapa, los datos individuales se analizarán de manera separada dentro de cada </w:t>
      </w:r>
      <w:r w:rsidRPr="004201B5">
        <w:rPr>
          <w:rFonts w:ascii="Arial" w:eastAsia="Times New Roman" w:hAnsi="Arial" w:cs="Arial"/>
          <w:kern w:val="0"/>
          <w:sz w:val="20"/>
          <w:szCs w:val="20"/>
          <w:lang w:eastAsia="es-PE"/>
          <w14:ligatures w14:val="none"/>
        </w:rPr>
        <w:lastRenderedPageBreak/>
        <w:t xml:space="preserve">cohorte para estimar las métricas de desempeño del modelo. En la segunda etapa, dichas métricas se sintetizarán mediante modelos de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w:t>
      </w:r>
    </w:p>
    <w:p w14:paraId="0751D096" w14:textId="0609660A"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Este enfoque se justifica porque el objetivo principal es evaluar la transportabilidad del KFRE y cuantificar la heterogeneidad de su desempeño entre poblaciones, más que estimar un único efecto promedio a partir de datos completamente agregados. La agregación directa de los datos en un único modelo multinivel podría ocultar variabilidad relevante entre estudios y limitar la interpretación clínica de los resultados. No obstante, se podrán realizar análisis exploratorios de una sola etapa como análisis de sensibilidad, utilizando modelos jerárquicos con </w:t>
      </w:r>
      <w:proofErr w:type="spellStart"/>
      <w:r w:rsidRPr="004201B5">
        <w:rPr>
          <w:rFonts w:ascii="Arial" w:eastAsia="Times New Roman" w:hAnsi="Arial" w:cs="Arial"/>
          <w:kern w:val="0"/>
          <w:sz w:val="20"/>
          <w:szCs w:val="20"/>
          <w:lang w:eastAsia="es-PE"/>
          <w14:ligatures w14:val="none"/>
        </w:rPr>
        <w:t>interceptos</w:t>
      </w:r>
      <w:proofErr w:type="spellEnd"/>
      <w:r w:rsidRPr="004201B5">
        <w:rPr>
          <w:rFonts w:ascii="Arial" w:eastAsia="Times New Roman" w:hAnsi="Arial" w:cs="Arial"/>
          <w:kern w:val="0"/>
          <w:sz w:val="20"/>
          <w:szCs w:val="20"/>
          <w:lang w:eastAsia="es-PE"/>
          <w14:ligatures w14:val="none"/>
        </w:rPr>
        <w:t xml:space="preserve"> aleatorios por cohorte.</w:t>
      </w:r>
    </w:p>
    <w:p w14:paraId="68BBCDA0"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Evaluación del desempeño pronóstico (validación externa)</w:t>
      </w:r>
    </w:p>
    <w:p w14:paraId="07CC69BE" w14:textId="77777777"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En cada cohorte se evaluará la discriminación del KFRE mediante el índice de concordancia dependiente del tiempo a los horizontes de dos y cinco años, considerando la censura y, cuando corresponda, el riesgo competitivo. La calibración se evaluará de forma integral, incluyendo calibración en promedio mediante razones observado/esperado y diferencias observado–esperado, calibración débil mediante la pendiente de calibración y calibración moderada mediante curvas de calibración suavizadas. Estas curvas se obtendrán comparando riesgos predichos y riesgos observados acumulados, utilizando técnicas apropiadas para datos con riesgo competitivo.</w:t>
      </w:r>
    </w:p>
    <w:p w14:paraId="72F72BD2" w14:textId="51F946AA"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Las métricas se estimarán con sus correspondientes errores estándar o intervalos de confianza, que serán utilizados en la síntesis posterior.</w:t>
      </w:r>
    </w:p>
    <w:p w14:paraId="0F59024A"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 xml:space="preserve">Síntesis de métricas mediante </w:t>
      </w:r>
      <w:proofErr w:type="gramStart"/>
      <w:r w:rsidRPr="004201B5">
        <w:rPr>
          <w:rFonts w:ascii="Arial" w:eastAsia="Times New Roman" w:hAnsi="Arial" w:cs="Arial"/>
          <w:b/>
          <w:bCs/>
          <w:kern w:val="0"/>
          <w:sz w:val="20"/>
          <w:szCs w:val="20"/>
          <w:lang w:eastAsia="es-PE"/>
          <w14:ligatures w14:val="none"/>
        </w:rPr>
        <w:t>meta-análisis</w:t>
      </w:r>
      <w:proofErr w:type="gramEnd"/>
    </w:p>
    <w:p w14:paraId="3E4AF5BF" w14:textId="46C24806"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Las métricas de desempeño estimadas en cada cohorte se combinarán mediante modelos de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de efectos aleatorios. Cuando sea necesario, se aplicarán transformaciones para aproximar la normalidad de las estimaciones, como transformaciones logarítmicas para razones observado/esperado o transformaciones </w:t>
      </w:r>
      <w:proofErr w:type="spellStart"/>
      <w:r w:rsidRPr="004201B5">
        <w:rPr>
          <w:rFonts w:ascii="Arial" w:eastAsia="Times New Roman" w:hAnsi="Arial" w:cs="Arial"/>
          <w:kern w:val="0"/>
          <w:sz w:val="20"/>
          <w:szCs w:val="20"/>
          <w:lang w:eastAsia="es-PE"/>
          <w14:ligatures w14:val="none"/>
        </w:rPr>
        <w:t>logit</w:t>
      </w:r>
      <w:proofErr w:type="spellEnd"/>
      <w:r w:rsidRPr="004201B5">
        <w:rPr>
          <w:rFonts w:ascii="Arial" w:eastAsia="Times New Roman" w:hAnsi="Arial" w:cs="Arial"/>
          <w:kern w:val="0"/>
          <w:sz w:val="20"/>
          <w:szCs w:val="20"/>
          <w:lang w:eastAsia="es-PE"/>
          <w14:ligatures w14:val="none"/>
        </w:rPr>
        <w:t xml:space="preserve"> para métricas acotadas. Se estimará el desempeño promedio del KFRE en América Latina, la heterogeneidad entre estudios y los intervalos de predicción para una nueva cohorte latinoamericana.</w:t>
      </w:r>
    </w:p>
    <w:p w14:paraId="5CC277AD"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Recalibración del modelo</w:t>
      </w:r>
    </w:p>
    <w:p w14:paraId="6CAF4621" w14:textId="2DE30923"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Cuando se identifique </w:t>
      </w:r>
      <w:proofErr w:type="spellStart"/>
      <w:r w:rsidRPr="004201B5">
        <w:rPr>
          <w:rFonts w:ascii="Arial" w:eastAsia="Times New Roman" w:hAnsi="Arial" w:cs="Arial"/>
          <w:kern w:val="0"/>
          <w:sz w:val="20"/>
          <w:szCs w:val="20"/>
          <w:lang w:eastAsia="es-PE"/>
          <w14:ligatures w14:val="none"/>
        </w:rPr>
        <w:t>miscalibración</w:t>
      </w:r>
      <w:proofErr w:type="spellEnd"/>
      <w:r w:rsidRPr="004201B5">
        <w:rPr>
          <w:rFonts w:ascii="Arial" w:eastAsia="Times New Roman" w:hAnsi="Arial" w:cs="Arial"/>
          <w:kern w:val="0"/>
          <w:sz w:val="20"/>
          <w:szCs w:val="20"/>
          <w:lang w:eastAsia="es-PE"/>
          <w14:ligatures w14:val="none"/>
        </w:rPr>
        <w:t xml:space="preserve"> clínicamente relevante, se evaluarán estrategias jerárquicas de recalibración del KFRE, comenzando por la actualización del riesgo basal, seguida de la recalibración conjunta del intercepto y del predictor lineal, y posteriormente estrategias que incorporen explícitamente el riesgo competitivo. Cada estrategia se implementará y evaluará dentro de cada cohorte y sus métricas se sintetizarán mediante </w:t>
      </w:r>
      <w:proofErr w:type="gramStart"/>
      <w:r w:rsidRPr="004201B5">
        <w:rPr>
          <w:rFonts w:ascii="Arial" w:eastAsia="Times New Roman" w:hAnsi="Arial" w:cs="Arial"/>
          <w:kern w:val="0"/>
          <w:sz w:val="20"/>
          <w:szCs w:val="20"/>
          <w:lang w:eastAsia="es-PE"/>
          <w14:ligatures w14:val="none"/>
        </w:rPr>
        <w:t>meta-</w:t>
      </w:r>
      <w:r w:rsidRPr="004201B5">
        <w:rPr>
          <w:rFonts w:ascii="Arial" w:eastAsia="Times New Roman" w:hAnsi="Arial" w:cs="Arial"/>
          <w:kern w:val="0"/>
          <w:sz w:val="20"/>
          <w:szCs w:val="20"/>
          <w:lang w:eastAsia="es-PE"/>
          <w14:ligatures w14:val="none"/>
        </w:rPr>
        <w:lastRenderedPageBreak/>
        <w:t>análisis</w:t>
      </w:r>
      <w:proofErr w:type="gramEnd"/>
      <w:r w:rsidRPr="004201B5">
        <w:rPr>
          <w:rFonts w:ascii="Arial" w:eastAsia="Times New Roman" w:hAnsi="Arial" w:cs="Arial"/>
          <w:kern w:val="0"/>
          <w:sz w:val="20"/>
          <w:szCs w:val="20"/>
          <w:lang w:eastAsia="es-PE"/>
          <w14:ligatures w14:val="none"/>
        </w:rPr>
        <w:t>, permitiendo comparar la mejora en calibración, la reducción de heterogeneidad y la estabilidad del desempeño.</w:t>
      </w:r>
    </w:p>
    <w:p w14:paraId="1B2247D7"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Evaluación de utilidad clínica</w:t>
      </w:r>
    </w:p>
    <w:p w14:paraId="3F06919F" w14:textId="7C17C329" w:rsidR="004201B5"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La utilidad clínica del KFRE original y recalibrado se evaluará mediante análisis de curvas de decisión en cada cohorte, estimando el beneficio neto a distintos umbrales de decisión clínicamente relevantes para la derivación a nefrología y la planificación de terapia de reemplazo renal a dos y cinco años. La interpretación se centrará en la consistencia del patrón de resultados entre cohortes y en la relevancia clínica de los umbrales evaluados, más que en una única estimación promedio.</w:t>
      </w:r>
    </w:p>
    <w:p w14:paraId="7A0D6670" w14:textId="77777777" w:rsidR="004201B5" w:rsidRPr="004201B5" w:rsidRDefault="004201B5" w:rsidP="004201B5">
      <w:pPr>
        <w:spacing w:before="100" w:beforeAutospacing="1" w:after="100" w:afterAutospacing="1" w:line="360" w:lineRule="auto"/>
        <w:outlineLvl w:val="2"/>
        <w:rPr>
          <w:rFonts w:ascii="Arial" w:eastAsia="Times New Roman" w:hAnsi="Arial" w:cs="Arial"/>
          <w:b/>
          <w:bCs/>
          <w:kern w:val="0"/>
          <w:sz w:val="20"/>
          <w:szCs w:val="20"/>
          <w:lang w:eastAsia="es-PE"/>
          <w14:ligatures w14:val="none"/>
        </w:rPr>
      </w:pPr>
      <w:r w:rsidRPr="004201B5">
        <w:rPr>
          <w:rFonts w:ascii="Arial" w:eastAsia="Times New Roman" w:hAnsi="Arial" w:cs="Arial"/>
          <w:b/>
          <w:bCs/>
          <w:kern w:val="0"/>
          <w:sz w:val="20"/>
          <w:szCs w:val="20"/>
          <w:lang w:eastAsia="es-PE"/>
          <w14:ligatures w14:val="none"/>
        </w:rPr>
        <w:t>Consideraciones éticas y difusión</w:t>
      </w:r>
    </w:p>
    <w:p w14:paraId="2A6A6D01" w14:textId="36A6F235" w:rsidR="00D93ACA" w:rsidRPr="004201B5" w:rsidRDefault="004201B5" w:rsidP="004201B5">
      <w:pPr>
        <w:spacing w:before="100" w:beforeAutospacing="1" w:after="100" w:afterAutospacing="1" w:line="360" w:lineRule="auto"/>
        <w:rPr>
          <w:rFonts w:ascii="Arial" w:eastAsia="Times New Roman" w:hAnsi="Arial" w:cs="Arial"/>
          <w:kern w:val="0"/>
          <w:sz w:val="20"/>
          <w:szCs w:val="20"/>
          <w:lang w:eastAsia="es-PE"/>
          <w14:ligatures w14:val="none"/>
        </w:rPr>
      </w:pPr>
      <w:r w:rsidRPr="004201B5">
        <w:rPr>
          <w:rFonts w:ascii="Arial" w:eastAsia="Times New Roman" w:hAnsi="Arial" w:cs="Arial"/>
          <w:kern w:val="0"/>
          <w:sz w:val="20"/>
          <w:szCs w:val="20"/>
          <w:lang w:eastAsia="es-PE"/>
          <w14:ligatures w14:val="none"/>
        </w:rPr>
        <w:t xml:space="preserve">Cada cohorte incluida contará con aprobación ética local y los datos individuales se compartirán de forma anonimizadas. El IPD </w:t>
      </w:r>
      <w:proofErr w:type="gramStart"/>
      <w:r w:rsidRPr="004201B5">
        <w:rPr>
          <w:rFonts w:ascii="Arial" w:eastAsia="Times New Roman" w:hAnsi="Arial" w:cs="Arial"/>
          <w:kern w:val="0"/>
          <w:sz w:val="20"/>
          <w:szCs w:val="20"/>
          <w:lang w:eastAsia="es-PE"/>
          <w14:ligatures w14:val="none"/>
        </w:rPr>
        <w:t>meta-análisis</w:t>
      </w:r>
      <w:proofErr w:type="gramEnd"/>
      <w:r w:rsidRPr="004201B5">
        <w:rPr>
          <w:rFonts w:ascii="Arial" w:eastAsia="Times New Roman" w:hAnsi="Arial" w:cs="Arial"/>
          <w:kern w:val="0"/>
          <w:sz w:val="20"/>
          <w:szCs w:val="20"/>
          <w:lang w:eastAsia="es-PE"/>
          <w14:ligatures w14:val="none"/>
        </w:rPr>
        <w:t xml:space="preserve"> cumplirá con las regulaciones éticas y de protección de datos de los países participantes. Los resultados se difundirán mediante publicaciones científicas revisadas por pares y presentaciones en congresos internacionales.</w:t>
      </w:r>
    </w:p>
    <w:sectPr w:rsidR="00D93ACA" w:rsidRPr="004201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1B5"/>
    <w:rsid w:val="000266E0"/>
    <w:rsid w:val="00337629"/>
    <w:rsid w:val="004201B5"/>
    <w:rsid w:val="0091028C"/>
    <w:rsid w:val="00D93ACA"/>
    <w:rsid w:val="00FC06D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697D2"/>
  <w15:chartTrackingRefBased/>
  <w15:docId w15:val="{79956EF1-F042-4574-8C83-75C5454E8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0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20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201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01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01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01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01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01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01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01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201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201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01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01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01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01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01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01B5"/>
    <w:rPr>
      <w:rFonts w:eastAsiaTheme="majorEastAsia" w:cstheme="majorBidi"/>
      <w:color w:val="272727" w:themeColor="text1" w:themeTint="D8"/>
    </w:rPr>
  </w:style>
  <w:style w:type="paragraph" w:styleId="Ttulo">
    <w:name w:val="Title"/>
    <w:basedOn w:val="Normal"/>
    <w:next w:val="Normal"/>
    <w:link w:val="TtuloCar"/>
    <w:uiPriority w:val="10"/>
    <w:qFormat/>
    <w:rsid w:val="00420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01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01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01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01B5"/>
    <w:pPr>
      <w:spacing w:before="160"/>
      <w:jc w:val="center"/>
    </w:pPr>
    <w:rPr>
      <w:i/>
      <w:iCs/>
      <w:color w:val="404040" w:themeColor="text1" w:themeTint="BF"/>
    </w:rPr>
  </w:style>
  <w:style w:type="character" w:customStyle="1" w:styleId="CitaCar">
    <w:name w:val="Cita Car"/>
    <w:basedOn w:val="Fuentedeprrafopredeter"/>
    <w:link w:val="Cita"/>
    <w:uiPriority w:val="29"/>
    <w:rsid w:val="004201B5"/>
    <w:rPr>
      <w:i/>
      <w:iCs/>
      <w:color w:val="404040" w:themeColor="text1" w:themeTint="BF"/>
    </w:rPr>
  </w:style>
  <w:style w:type="paragraph" w:styleId="Prrafodelista">
    <w:name w:val="List Paragraph"/>
    <w:basedOn w:val="Normal"/>
    <w:uiPriority w:val="34"/>
    <w:qFormat/>
    <w:rsid w:val="004201B5"/>
    <w:pPr>
      <w:ind w:left="720"/>
      <w:contextualSpacing/>
    </w:pPr>
  </w:style>
  <w:style w:type="character" w:styleId="nfasisintenso">
    <w:name w:val="Intense Emphasis"/>
    <w:basedOn w:val="Fuentedeprrafopredeter"/>
    <w:uiPriority w:val="21"/>
    <w:qFormat/>
    <w:rsid w:val="004201B5"/>
    <w:rPr>
      <w:i/>
      <w:iCs/>
      <w:color w:val="0F4761" w:themeColor="accent1" w:themeShade="BF"/>
    </w:rPr>
  </w:style>
  <w:style w:type="paragraph" w:styleId="Citadestacada">
    <w:name w:val="Intense Quote"/>
    <w:basedOn w:val="Normal"/>
    <w:next w:val="Normal"/>
    <w:link w:val="CitadestacadaCar"/>
    <w:uiPriority w:val="30"/>
    <w:qFormat/>
    <w:rsid w:val="00420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01B5"/>
    <w:rPr>
      <w:i/>
      <w:iCs/>
      <w:color w:val="0F4761" w:themeColor="accent1" w:themeShade="BF"/>
    </w:rPr>
  </w:style>
  <w:style w:type="character" w:styleId="Referenciaintensa">
    <w:name w:val="Intense Reference"/>
    <w:basedOn w:val="Fuentedeprrafopredeter"/>
    <w:uiPriority w:val="32"/>
    <w:qFormat/>
    <w:rsid w:val="004201B5"/>
    <w:rPr>
      <w:b/>
      <w:bCs/>
      <w:smallCaps/>
      <w:color w:val="0F4761" w:themeColor="accent1" w:themeShade="BF"/>
      <w:spacing w:val="5"/>
    </w:rPr>
  </w:style>
  <w:style w:type="paragraph" w:styleId="NormalWeb">
    <w:name w:val="Normal (Web)"/>
    <w:basedOn w:val="Normal"/>
    <w:uiPriority w:val="99"/>
    <w:semiHidden/>
    <w:unhideWhenUsed/>
    <w:rsid w:val="004201B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450971">
      <w:bodyDiv w:val="1"/>
      <w:marLeft w:val="0"/>
      <w:marRight w:val="0"/>
      <w:marTop w:val="0"/>
      <w:marBottom w:val="0"/>
      <w:divBdr>
        <w:top w:val="none" w:sz="0" w:space="0" w:color="auto"/>
        <w:left w:val="none" w:sz="0" w:space="0" w:color="auto"/>
        <w:bottom w:val="none" w:sz="0" w:space="0" w:color="auto"/>
        <w:right w:val="none" w:sz="0" w:space="0" w:color="auto"/>
      </w:divBdr>
    </w:div>
    <w:div w:id="206316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2158</Words>
  <Characters>11873</Characters>
  <Application>Microsoft Office Word</Application>
  <DocSecurity>0</DocSecurity>
  <Lines>98</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Percy Soto Becerra</dc:creator>
  <cp:keywords/>
  <dc:description/>
  <cp:lastModifiedBy>Percy Soto Becerra</cp:lastModifiedBy>
  <cp:revision>2</cp:revision>
  <dcterms:created xsi:type="dcterms:W3CDTF">2026-01-27T21:08:00Z</dcterms:created>
  <dcterms:modified xsi:type="dcterms:W3CDTF">2026-01-27T21:08:00Z</dcterms:modified>
</cp:coreProperties>
</file>