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S12. Performance measures of KFRE in the external dataset of patients with CKD Stages 3a-4 and 3b-4 estimated without accounting for competing events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576"/>
        <w:gridCol w:w="2576"/>
        <w:gridCol w:w="2576"/>
        <w:gridCol w:w="257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13.95%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(2.53 to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(1.56 to 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(2.39 to 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(1.47 to 1.79)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(0.68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(0.68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(0.62 to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(0.62 to 0.73)</w:t>
            </w:r>
          </w:p>
        </w:tc>
      </w:tr>
      <w:tr>
        <w:trPr>
          <w:trHeight w:val="571" w:hRule="auto"/>
        </w:trPr>
        body6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Harrell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 (0.851 to 0.894)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 (0.844 to 0.879)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 (0.802 to 0.851)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 (0.792 to 0.834)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Uno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 (0.847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(0.836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 (0.797 to 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 (0.776 to 0.822)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 (0.853 to 0.898)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 (0.857 to 0.893)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 (0.811 to 0.864)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 (0.802 to 0.853)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2023-11-28T10:58:23Z</dcterms:modified>
  <cp:category/>
</cp:coreProperties>
</file>