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S5. Baseline characteristics and frequency of outcomes of the study population according to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221"/>
        <w:gridCol w:w="2098"/>
        <w:gridCol w:w="2221"/>
        <w:gridCol w:w="2209"/>
        <w:gridCol w:w="2527"/>
        <w:gridCol w:w="2527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3,602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4,912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G3a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5,104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G3b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3,528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1,392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2,092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2,570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(60.1%)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1,510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3,860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(39.9%)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(206.7)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(51.0 - 65.0)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 (61.0 - 75.0)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(69.0 - 83.0)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(73.0 - 88.0)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(70.0 - 88.0)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(64.0 - 85.0)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18.0 - 87.0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19.0 - 97.0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20.0 - 105.0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30.0 - 2,023.0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1,735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2,901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2,565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1,639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(92.3%)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 (63.9%)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(71.4%)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1,835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3,132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1,733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(20.2%)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1,436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1,433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1,078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(19.1%)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(60.7%)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1,835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1,436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3,132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1,433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1,733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(100.0%)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(1.7)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(0.6 - 0.8)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(1.2 - 1.4)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(1.5 - 1.7)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(1.9 - 2.5)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(3.4 - 4.3)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0.5 - 1.5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1.5 - 4.1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0.9 - 13.6</w:t>
            </w:r>
          </w:p>
        </w:tc>
      </w:tr>
      <w:tr>
        <w:trPr>
          <w:trHeight w:val="60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101.0 (9.3)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(2.8)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(94.0 - 105.3)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 (69.4 - 84.0)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 (48.4 - 54.0)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(35.3 - 42.2)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(21.3 - 27.6)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(10.4 - 14.0)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90.0 - 177.4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60.0 - 90.0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30.0 - 45.0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0.0 - 15.0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1,925.7 (17,805.5)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 (5,270.8)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1,800.5 (75,307.5)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2,057.2 (15,552.1)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4,765.5 (18,087.6)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10,915.3 (23,329.4)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 (4.8 - 49.8)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(4.9 - 51.8)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(4.7 - 64.7)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 (7.6 - 201.4)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 (25.2 - 1,007.6)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786.7 (50.9 - 8,980.8)</w:t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0.0 - 411,111.0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0.0 - 160,669.2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0.0 - 5,356,084.5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0.0 - 552,569.1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0.1 - 203,748.1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0.0 - 137,501.8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(394.7)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193.4 (465.6)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 (257.5)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 (416.8)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203.0 (648.9)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583.1 (1,092.5)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(3.5 - 20.0)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(5.2 - 105.8)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(0.3 - 4.5)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(0.5 - 12.9)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(1.5 - 62.6)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 (3.5 - 648.4)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0.0 - 5,990.6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0.0 - 3,384.4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0.0 - 5,329.4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0.0 - 7,928.6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0.0 - 8,089.9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0.1 - 5,557.1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 (103.7)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78.1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 (70.5)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(69.3)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 (18.1 - 111.1)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(45.7 - 95.7)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(47.9 - 101.3)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(45.4 - 87.3)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(41.4 - 85.0)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(38.4 - 78.5)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0.0 - 473.2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0.1 - 389.0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0.0 - 3,235.0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0.0 - 787.0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0.0 - 859.0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(39.3%)</w:t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3,537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4,751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4,792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3,092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(46.1%)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(15.7%)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(38.2%)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1,015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(51.1%)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3,431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4,443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4,249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2,443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(29.8%)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(20.8%)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(5.7%)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(22.8%)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(49.4%)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2023-11-30T07:53:37Z</dcterms:modified>
  <cp:category/>
</cp:coreProperties>
</file>