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S6. Distribution of CKD 3a-4 patients included in the analysis within 17 health facilities of the EsSalud Rebagliati Network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3"/>
        <w:gridCol w:w="1915"/>
        <w:gridCol w:w="4024"/>
        <w:gridCol w:w="4109"/>
        <w:gridCol w:w="2826"/>
      </w:tblGrid>
      <w:tr>
        <w:trPr>
          <w:trHeight w:val="57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10,024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7,384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2,052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588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Centro de atención de salud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Almenara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Amazonas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Apurimac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Arequipa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Ayacucho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Cajamarca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Huanuco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Huaraz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KAELIN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1,065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(9.7%)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Lambayeque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(2.1%)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Loreto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Madre De Dios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Moquegua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Moyobamba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REBAGLIATI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5,271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1,601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(5.9%)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Sabogal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Tarapoto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Ucayali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(88.9%)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2023-11-30T07:53:39Z</dcterms:modified>
  <cp:category/>
</cp:coreProperties>
</file>