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CAS dsitribution of the study population according Outcome and Missing Data in ACR in 3a-3b-4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28"/>
        <w:gridCol w:w="1915"/>
        <w:gridCol w:w="2361"/>
        <w:gridCol w:w="4146"/>
        <w:gridCol w:w="3009"/>
        <w:gridCol w:w="4109"/>
        <w:gridCol w:w="2361"/>
        <w:gridCol w:w="3266"/>
        <w:gridCol w:w="3217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Missing Data in KFRE's predicted risks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22,735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4,924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8,544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20,299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(92.3%)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7,300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 (24.2%)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12,882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2,230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14,379 (93.8%)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Huancavelica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(87.0%)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Tarapoto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(46.4%)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(71.8%)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(100.0%)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(95.2%)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(97.4%)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(96.0%)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(93.4%)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(91.1%)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(73.5%)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Apurimac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(96.6%)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(98.3%)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(98.6%)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(97.7%)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(97.6%)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(89.5%)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(96.5%)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(98.4%)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(91.2%)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(97.0%)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(97.7%)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(97.5%)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(93.9%)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 (78.3%)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1,699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1,971 (97.7%)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3,027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3,372 (96.6%)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3,803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3,045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3,507 (92.2%)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(33.4%)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(20.5%)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7,300 (75.8%)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 (24.2%)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2024-04-01T15:33:03Z</dcterms:modified>
  <cp:category/>
</cp:coreProperties>
</file>