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8"/>
        <w:gridCol w:w="2684"/>
        <w:gridCol w:w="3540"/>
        <w:gridCol w:w="2684"/>
        <w:gridCol w:w="3540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61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Event / Total (Censor)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Cumulative Incidence (95%CI)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Event / Total (Censor)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Cumulative Incidence (95%CI)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/ 8593 (613)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2.08% (1.81% to 2.38%)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/ 8593 (613)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4.33% (3.93% to 4.75%)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/ 7353 (695)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3.79% (3.41% to 4.19%)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/ 7353 (695)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8.88% (8.31% to 9.48%)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/ 6612 (234)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5.02% (4.58% to 5.49%)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/ 6612 (234)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13.73% (13.02% to 14.46%)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/ 5379 (755)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5.93% (5.45% to 6.44%)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/ 5379 (755)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19.09% (18.25% to 19.93%)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/ 4078 (861)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6.74% (6.21% to 7.29%)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/ 4078 (861)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24.92% (23.96% to 25.88%)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2024-04-08T02:36:59Z</dcterms:modified>
  <cp:category/>
</cp:coreProperties>
</file>