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S8. Cumulative incidence of kidney failure and death without kidney failure in patients with CKD stages 3a-3b-4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4"/>
        <w:gridCol w:w="1034"/>
        <w:gridCol w:w="2172"/>
        <w:gridCol w:w="1157"/>
        <w:gridCol w:w="241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without kidney failure</w:t>
            </w:r>
          </w:p>
        </w:tc>
      </w:tr>
      <w:tr>
        <w:trPr>
          <w:trHeight w:val="577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(1.28% to 1.56%)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(2.99% to 3.4%)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(2.41% to 2.78%)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(6.76% to 7.36%)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(3.24% to 3.67%)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(10.85% to 11.6%)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(3.85% to 4.32%)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(14.98% to 15.85%)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(4.24% to 4.74%)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(19.14% to 20.14%)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2024-04-01T07:27:16Z</dcterms:modified>
  <cp:category/>
</cp:coreProperties>
</file>