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(1.93 to 2.26)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1.35% (1.16% to 1.54%)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(0.47 to 0.73)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 (-0.34 to -0.21)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 (1.06 to 1.21)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0.53% (0.25% to 0.8%)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 (-0.2 to 0.02)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 (-0.34 to -0.24)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2024-04-04T10:37:01Z</dcterms:modified>
  <cp:category/>
</cp:coreProperties>
</file>