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2"/>
        <w:gridCol w:w="2599"/>
        <w:gridCol w:w="2942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Original KFRE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2.62%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2.6% (2.41% to 2.78%)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(0.92 to 1.07)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-0.03% (-0.22% to 0.16%)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 (-0.33 to -0.12)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 (-0.33 to -0.19)</w:t>
            </w:r>
          </w:p>
        </w:tc>
      </w:tr>
      <w:tr>
        <w:trPr>
          <w:trHeight w:val="57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(0.9 to 0.92)</w:t>
            </w:r>
          </w:p>
        </w:tc>
      </w:tr>
      <w:tr>
        <w:trPr>
          <w:trHeight w:val="615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 to 0.02)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4.75%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4.49% (4.24% to 4.74%)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(0.89 to 1)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-0.26% (-0.52% to 0%)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 (-0.39 to -0.22)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 (-0.33 to -0.23)</w:t>
            </w:r>
          </w:p>
        </w:tc>
      </w:tr>
      <w:tr>
        <w:trPr>
          <w:trHeight w:val="57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(0.88 to 0.9)</w:t>
            </w:r>
          </w:p>
        </w:tc>
      </w:tr>
      <w:tr>
        <w:trPr>
          <w:trHeight w:val="615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(0.03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2024-04-04T20:18:30Z</dcterms:modified>
  <cp:category/>
</cp:coreProperties>
</file>