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Baseline characteristics of the study population with CKD Stages 3a-3b-4 according type of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(9.3%)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(51.4%)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4,166 (39.3%)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6,685 (80.6%)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(45.0%)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(52.0%)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(31.9%)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(16.1%)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(42.1%)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(57.9%)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 (654.7)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285.6 (801.4)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(5.1 - 87.3)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(7.6 - 160.3)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(48.9)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(0.5 - 11.4)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(46.1)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(40.9)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(36.3 - 85.0)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(39.0 - 85.0)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5,344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2024-04-01T12:27:04Z</dcterms:modified>
  <cp:category/>
</cp:coreProperties>
</file>