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098"/>
        <w:gridCol w:w="4146"/>
        <w:gridCol w:w="3009"/>
        <w:gridCol w:w="4109"/>
        <w:gridCol w:w="3266"/>
        <w:gridCol w:w="3217"/>
        <w:gridCol w:w="1181"/>
      </w:tblGrid>
      <w:tr>
        <w:trPr>
          <w:trHeight w:val="82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columna)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 in KFRE's predicted risks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5,144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11,078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9,707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(66.0 - 80.0)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(62.0 - 80.0)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(74.0 - 86.0)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(69.0 - 84.0)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(66.0 - 81.0)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24.0 - 103.0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3,580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26,152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9,519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16,633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6,620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5,416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17,696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13,998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12,960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13,643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11,491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12,897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7,782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5,551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(1.7 - 2.6)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(42.1 - 55.1)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(21.0 - 35.7)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(35.0 - 51.6)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(36.5 - 51.3)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(41.3 - 55.7)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1,158.2 (5,307.1)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804.2 (4,190.9)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5,941.2 (12,279.6)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1,066.4 (4,939.8)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1,158.2 (5,307.1)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(5.2 - 110.2)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372.6 (65.7 - 2,742.6)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(8.7 - 181.4)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(266.1)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(207.1)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298.7 (598.7)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(244.0)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(265.6)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(293.3)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(4.2 - 154.0)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(0.7 - 16.0)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(46.2)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 (44.0)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(36.7 - 85.0)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(36.0 - 86.0)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 (37.8 - 76.2)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(38.7 - 85.0)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(45.7 - 91.4)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(10.6 - 64.9)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18,839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18,566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1,202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7,480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(39.0%)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(61.0%)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2024-04-08T02:36:54Z</dcterms:modified>
  <cp:category/>
</cp:coreProperties>
</file>