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Baseline characteristics of the study population with CKD Stages 3b-4 according missing data in KFRE's predicted risk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52"/>
        <w:gridCol w:w="2098"/>
        <w:gridCol w:w="3266"/>
        <w:gridCol w:w="3094"/>
        <w:gridCol w:w="1181"/>
      </w:tblGrid>
      <w:tr>
        <w:trPr>
          <w:trHeight w:val="82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**Total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(% columna)**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Datos perdidos en riesgo predicho por KFRE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(% fila)</w:t>
            </w:r>
          </w:p>
        </w:tc>
      </w:tr>
      <w:tr>
        <w:trPr>
          <w:trHeight w:val="612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10,596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Datos completos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3,795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Datos perdidos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6,801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Sexo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Femenino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4,045 (38.2%)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3,175 (78.5%)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Masculino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6,551 (61.8%)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2,925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3,626 (55.4%)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Edad (años)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77.7 (12.0)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80.9 (11.6)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79.0 (71.0 - 86.0)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 (74.0 - 89.0)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 (69.0 - 84.0)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20.0 - 109.0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19.0 - 108.0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Red de EsSalud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Otros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986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Otras Redes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4,166 (39.3%)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3,987 (95.7%)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Lima - Rebagliati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5,444 (51.4%)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3,537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1,907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1,606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1,523 (94.8%)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6,685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2,227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4,458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3,613 (55.0%)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3,443 (95.3%)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2,956 (45.0%)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1,061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1,895 (64.1%)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albuminuria persistente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1,972 (52.0%)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1,972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Categorías de TFG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0.073</w:t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G3b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7,546 (71.2%)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2,743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4,803 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3,050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1,052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1,998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Clasificación CKD KDIGO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Moderately increased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(NA%)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1,599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high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2,196 (57.9%)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2,196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sérica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(1.5 - 1.9)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(1.5 - 1.9)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 (1.4 - 2.0)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1.1 - 4.5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TFG usando CKD-EPI, ml/min/1.73m2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 (8.0)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 (28.7 - 41.4)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 (29.1 - 41.4)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36.4 (28.4 - 41.4)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15.1 - 45.0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15.0 - 45.0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Relación albúmina-creatinina, mg/g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285.6 (801.4)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285.6 (801.4)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(7.6 - 160.3)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 (7.6 - 160.3)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 (NA - NA)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0.3 - 4,836.5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0.3 - 4,836.5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 - -Inf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Albúmina en orina (mg/ml)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 (48.9)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 (47.7)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 (82.4)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(0.5 - 11.4)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(0.5 - 11.0)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(1.1 - 39.0)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0.0 - 300.2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0.0 - 300.2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0.1 - 300.2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Creatinina en orina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64.2 (40.9)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72.7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46.6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(IQR)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 (39.0 - 85.0)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 (45.7 - 85.0)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42.4 (21.8 - 63.6)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0.0 - 245.3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death2y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9,161 (86.5%)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3,158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6,003 (65.5%)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1,435 (13.5%)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(44.4%)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798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2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8,804 (83.1%)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3,064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5,740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672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247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425 (63.2%)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1,120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484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death5y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7,610 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2,515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5,095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2,986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1,280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1,706 (57.1%)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Resultado a 5 años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Alive w/o 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7,041 (66.4%)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2,354 (33.4%)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4,687 (66.6%)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Kidney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1,065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671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Death w/o Kidney Failure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2,490 (23.5%)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1,047 (42.0%)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1,443 (58.0%)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Wilcoxon rank sum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2024-04-01T15:31:41Z</dcterms:modified>
  <cp:category/>
</cp:coreProperties>
</file>