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EsSalud's Healthcare Networks distribution of the study population according missing data and outcome in 3a-3b-4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1"/>
        <w:gridCol w:w="2121"/>
        <w:gridCol w:w="2626"/>
        <w:gridCol w:w="2433"/>
        <w:gridCol w:w="3545"/>
        <w:gridCol w:w="2344"/>
        <w:gridCol w:w="3674"/>
      </w:tblGrid>
      <w:tr>
        <w:trPr>
          <w:trHeight w:val="8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 data in all variables used for multiple imputation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 row)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8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30,031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20,213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5,144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8,897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10,770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(19.7%)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15,247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14,326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(14.6%)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Amazonas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(11.1%)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Ancash: Anchas (except Huaraz)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1,700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(14.2%)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Ancash: Huaraz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(10.3%)</w:t>
            </w:r>
          </w:p>
        </w:tc>
      </w:tr>
      <w:tr>
        <w:trPr>
          <w:trHeight w:val="63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Apurímac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(11.7%)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Arequipa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(16.8%)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Ayacucho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(11.5%)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Cajamarca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(15.6%)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Huancavelica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Huánuco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(17.7%)</w:t>
            </w:r>
          </w:p>
        </w:tc>
      </w:tr>
      <w:tr>
        <w:trPr>
          <w:trHeight w:val="63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(15.7%)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Libertad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1,208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(16.9%)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Lambayeque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3,369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(13.3%)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y Callao: Sabogal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(23.8%)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Lima: Almenara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3,795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3,037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(18.5%)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Loreto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(15.2%)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Madre de Dios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Moquegua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(17.7%)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10,905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8,598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2,307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7,670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(20.1%)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(10.4%)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(19.3%)</w:t>
            </w:r>
          </w:p>
        </w:tc>
      </w:tr>
      <w:tr>
        <w:trPr>
          <w:trHeight w:val="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Puno: Juliaca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(17.7%)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Puno: Puno (except Juliaca)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(15.7%)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Martín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(14.5%)</w:t>
            </w:r>
          </w:p>
        </w:tc>
      </w:tr>
      <w:tr>
        <w:trPr>
          <w:trHeight w:val="63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 Martín: Moyobamba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(14.4%)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(14.5%)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Tumbes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(19.3%)</w:t>
            </w:r>
          </w:p>
        </w:tc>
      </w:tr>
      <w:tr>
        <w:trPr>
          <w:trHeight w:val="624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Ucayali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(91.1%)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(84.7%)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(13.3%)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2024-09-15T17:46:37Z</dcterms:modified>
  <cp:category/>
</cp:coreProperties>
</file>