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72"/>
        <w:gridCol w:w="2637"/>
        <w:gridCol w:w="3222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Original data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Winzorized outliers in ACR</w:t>
            </w:r>
          </w:p>
        </w:tc>
      </w:tr>
      <w:tr>
        <w:trPr>
          <w:trHeight w:val="60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7,519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7,519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Albumin-to-creatinine ratio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248.620 ± 3,044.427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144.053 ± 437.405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14.634 (4.484, 66.114)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14.634 (4.484, 66.114)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0.002, 144,870.588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0.236, 3,195.727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Predicted risk of kidney failure to 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 ± 3.263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 ± 3.155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 (0.057, 0.429)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 (0.057, 0.429)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0.001, 53.657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0.006, 53.657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Predicted risk of kidney failure to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3.182 ± 8.913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3.138 ± 8.760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 (0.220, 1.650)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 (0.221, 1.649)</w:t>
            </w:r>
          </w:p>
        </w:tc>
      </w:tr>
      <w:tr>
        <w:trPr>
          <w:trHeight w:val="614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0.004, 94.911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0.024, 94.911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2023-03-22T09:15:56Z</dcterms:modified>
  <cp:category/>
</cp:coreProperties>
</file>