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72"/>
        <w:gridCol w:w="2637"/>
        <w:gridCol w:w="3222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data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Winzorized outliers in ACR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248.620 ± 3,044.427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144.053 ± 437.405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14.634 (4.484, 66.114)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14.634 (4.484, 66.114)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0.002, 144,870.588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0.236, 3,195.727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risk of kidney failure to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± 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 ± 3.155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(0.057, 0.429)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(0.057, 0.429)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0.001, 53.657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0.006, 53.657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risk of kidney failure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3.182 ± 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3.138 ± 8.760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 (0.220, 1.650)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 (0.221, 1.649)</w:t>
            </w:r>
          </w:p>
        </w:tc>
      </w:tr>
      <w:tr>
        <w:trPr>
          <w:trHeight w:val="614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0.004, 94.911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0.024, 94.911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2023-03-29T18:57:08Z</dcterms:modified>
  <cp:category/>
</cp:coreProperties>
</file>