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Baseline characteristics of the study patients at CKD Stages 3a, 3b or 4 for all predictors, stratified by outcome at 2- and 5-years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3266"/>
        <w:gridCol w:w="2764"/>
        <w:gridCol w:w="3266"/>
        <w:gridCol w:w="2764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7,405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7,280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4,062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4,015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(38.5%)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3,343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3,265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(12.5)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(59.3,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(68.0, 82.0)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75.0)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36.0, 88.0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23.0, 97.0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26.0, 94.0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4,421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4,339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(61.5%)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1,796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(42.7%)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4,749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1,984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(48.1%)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4,664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(23.8%)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(33.9%)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(42.3%)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3,266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3,256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(9.2%)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2,429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1,595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(77.8%)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(1.5, 2.4)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0.8, 3.8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0.9, 3.9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(12.4)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 (40.8,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(23.2,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(41.1,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(23.5, 44.2)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15.4, 59.8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15.1, 60.0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15.0, 59.8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 (3,059.4)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1,101.7 (1,614.1)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229.3 (3,083.4)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 (1,283.1)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(4.4, 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 (52.5, 1,663.9)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(4.4, 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270.9 (51.2, 992.4)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2.5, 7,462.7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0.2, 7,462.7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 (73.5)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(62.3)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(4.3, 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(3.4, 56.5)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0.2, 348.1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0.0, 348.1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(61.0)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(41.4, 86.5)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(39.6,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(41.3, 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(41.0,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6.4, 218.6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6.4, 722.1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(32.2%)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6,717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(52.3%)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(47.7%)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(58.2%)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(100.0%)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2023-05-07T23:41:13Z</dcterms:modified>
  <cp:category/>
</cp:coreProperties>
</file>