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S4. Baseline characteristics of the study patients at CKD Stages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642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2,710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2,616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(37.9%)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1,347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(62.1%)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(12.4)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(59.3,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(65.4%)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(42.9%)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(34.1%)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(1.8,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(1.7, 2.5)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(8.3)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(31.8, 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(21.6, 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(32.1,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(22.4, 35.4)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15.0, 44.9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306.8 (3,082.4)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1,172.8 (1,631.1)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 (3,133.9)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881.4 (1,272.2)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(6.3, 145.4)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367.7 (149.1, 1,811.8)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(6.1, 131.2)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334.6 (143.8, 1,076.5)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(77.1)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(64.4)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(8.9,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(8.6, 60.3)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(61.8)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(43.7,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(38.1,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(43.9,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(40.1,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(31.9%)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2,316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(51.6%)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(48.4%)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2023-05-07T23:41:20Z</dcterms:modified>
  <cp:category/>
</cp:coreProperties>
</file>