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S4. Baseline characteristics of the study patients at CKD Stages 3b or 4 for all predictors, stratified by outcome at 2- and 5-years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3266"/>
        <w:gridCol w:w="2642"/>
        <w:gridCol w:w="3266"/>
        <w:gridCol w:w="2764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2,710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2,616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1,363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1,329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(37.9%)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1,347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1,287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(62.1%)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(12.4)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(70.0,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(70.0,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(59.2, 75.0)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36.0, 88.0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26.0, 94.0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(65.4%)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(42.9%)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(13.7%)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(34.1%)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(52.2%)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2,126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(44.5%)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(55.5%)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1,294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1,286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1,416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(91.2%)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(1.4,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(1.8,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(1.7, 2.5)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1.2, 3.9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1.2, 3.9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(8.3)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 (31.8, 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(21.6, 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(32.1, 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(22.4, 35.4)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15.4, 43.8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15.1, 45.0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15.0, 44.9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306.8 (3,082.4)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1,172.8 (1,631.1)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296.0 (3,133.9)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881.4 (1,272.2)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 (6.3, 145.4)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367.7 (149.1, 1,811.8)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(6.1, 131.2)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334.6 (143.8, 1,076.5)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2.5, 7,462.7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1.4, 7,462.7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(77.1)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 (64.4)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(0.4, 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 (8.9, 66.6)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(0.4,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(8.6, 60.3)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0.2, 348.1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0.1, 348.1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(47.4)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(33.5)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(45.8)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(61.8)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(43.7,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(38.1,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(43.9,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(40.1, 85.0)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0.7, 722.1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6.4, 218.6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0.7, 620.1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6.4, 722.1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(31.9%)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2,316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(51.6%)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(48.4%)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(55.5%)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(100.0%)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2023-03-29T18:41:14Z</dcterms:modified>
  <cp:category/>
</cp:coreProperties>
</file>