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S5. Baseline characteristics and frequency of outcomes of the study population according to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3"/>
        <w:gridCol w:w="2098"/>
        <w:gridCol w:w="2098"/>
        <w:gridCol w:w="2343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G3a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4,721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G3b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2,207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2,709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(50.1%)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1,105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(49.9%)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 (11.8)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(67.0 - 80.0)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(70.0 - 83.0)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(67.0 - 83.0)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23.0 - 97.0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26.0 - 97.0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23.0 - 95.0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2,850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1,295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(57.7%)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(25.9%)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3,278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(32.5%)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(38.6%)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(28.9%)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3,278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(100.0%)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(0.5)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(1.0 - 1.3)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(1.3 - 1.7)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(1.9 - 2.6)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0.8 - 1.9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1.5 - 3.9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(4.1)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 (49.4 - 55.6)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 (35.3 - 42.4)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(21.2 - 27.7)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30.0 - 45.0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15.0 - 30.0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198.0 (3,039.8)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302.6 (3,386.3)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451.7 (1,109.7)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(3.9 - 41.5)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 (5.3 - 100.1)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127.2 (17.7 - 405.2)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0.0 - 137,672.1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0.1 - 18,259.2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(48.8)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(0.2 - 2.4)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(0.3 - 5.8)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(1.3 - 20.9)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0.0 - 548.0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0.0 - 383.0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 (47.9)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 (46.0)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(50.7)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 (40.4 - 88.1)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(43.0 - 85.0)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(44.6 - 85.0)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0.1 - 438.3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0.8 - 620.1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0.7 - 722.1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(21.7%)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4,432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(75.3%)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(15.9%)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(8.8%)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(38.7%)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3,947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1,622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(52.6%)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(30.3%)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(17.1%)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2023-03-29T17:14:53Z</dcterms:modified>
  <cp:category/>
</cp:coreProperties>
</file>