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S5. Baseline characteristics and frequency of outcomes of the study population according to CKD stages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03"/>
        <w:gridCol w:w="2098"/>
        <w:gridCol w:w="2098"/>
        <w:gridCol w:w="2343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G3a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4,721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G3b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2,207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2,709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1,102 (49.9%)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(50.1%)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1,105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(49.9%)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73.1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73.9 (11.8)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(67.0 - 80.0)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 (70.0 - 83.0)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(67.0 - 83.0)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23.0 - 97.0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26.0 - 97.0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23.0 - 95.0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2,850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1,295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(57.7%)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(25.9%)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Persistent albuminuria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3,278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(32.5%)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1,158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(38.6%)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(28.9%)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KDIGO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3,278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1,158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(100.0%)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(0.5)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(1.0 - 1.3)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(1.3 - 1.7)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(1.9 - 2.6)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0.8 - 1.9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1.5 - 3.9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using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(4.1)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 (49.4 - 55.6)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 (35.3 - 42.4)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(21.2 - 27.7)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30.0 - 45.0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15.0 - 30.0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Albumin-to-creatinine ratio,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198.0 (3,039.8)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302.6 (3,386.3)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451.7 (1,109.7)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(3.9 - 41.5)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 (5.3 - 100.1)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127.2 (17.7 - 405.2)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0.0 - 137,672.1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0.0 - 144,870.6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0.1 - 18,259.2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Albumin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(48.8)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(0.2 - 2.4)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(0.3 - 5.8)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(1.3 - 20.9)</w:t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0.0 - 548.0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0.0 - 658.0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0.0 - 383.0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 (47.9)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 (46.0)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(50.7)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 (40.4 - 88.1)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(43.0 - 85.0)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(44.6 - 85.0)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0.1 - 438.3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0.8 - 620.1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0.7 - 722.1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(21.7%)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4,432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1,965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(75.3%)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(15.9%)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(8.8%)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(38.7%)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3,947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1,622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(52.6%)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(30.3%)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(17.1%)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2023-05-07T23:41:24Z</dcterms:modified>
  <cp:category/>
</cp:coreProperties>
</file>