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firstLine="0" w:left="60" w:right="60"/>
      </w:pPr>
      <w:r>
        <w:t xml:space="preserve">Table S5. Baseline characteristics and frequency of outcomes of the study population according to CKD stages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03"/>
        <w:gridCol w:w="2098"/>
        <w:gridCol w:w="2098"/>
        <w:gridCol w:w="2343"/>
      </w:tblGrid>
      <w:tr>
        <w:trPr>
          <w:trHeight w:val="60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G3a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4,721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G3b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2,207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591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2,709 (57.4%)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1,102 (49.9%)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(50.1%)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2,012 (42.6%)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1,105 (50.1%)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 (49.9%)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73.1 (9.9)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76.0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73.9 (11.8)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 (67.0 - 80.0)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77.0 (70.0 - 83.0)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 (67.0 - 83.0)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23.0 - 97.0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26.0 - 97.0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23.0 - 95.0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2,850 (60.4%)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1,295 (58.7%)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 (57.7%)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1,171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 (23.6%)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(25.9%)</w:t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Persistent albuminuria categories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3,278 (69.4%)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1,302 (59.0%)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(32.5%)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1,158 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(38.6%)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(28.9%)</w:t>
            </w:r>
          </w:p>
        </w:tc>
      </w:tr>
      <w:tr>
        <w:trPr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KDIGO classification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Moderately increased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3,278 (69.4%)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1,158 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1,302 (59.0%)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905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591 (100.0%)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Serum Creatinine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(0.5)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(1.0 - 1.3)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(1.3 - 1.7)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(1.9 - 2.6)</w:t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0.8 - 1.9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1.5 - 3.9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eGFR using CKD-EPI, ml/min/1.73m2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 (4.1)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52.6 (49.4 - 55.6)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 (35.3 - 42.4)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 (21.2 - 27.7)</w:t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45.0 - 60.0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30.0 - 45.0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15.0 - 30.0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Albumin-to-creatinine ratio, mg/g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198.0 (3,039.8)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302.6 (3,386.3)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451.7 (1,109.7)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(3.9 - 41.5)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 (5.3 - 100.1)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127.2 (17.7 - 405.2)</w:t>
            </w:r>
          </w:p>
        </w:tc>
      </w:tr>
      <w:tr>
        <w:trPr>
          <w:trHeight w:val="61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0.0 - 137,672.1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0.0 - 144,870.6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0.1 - 18,259.2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Urine Albumin (mg/ml)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 (21.8)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 (48.8)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(0.2 - 2.4)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(0.3 - 5.8)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(1.3 - 20.9)</w:t>
            </w:r>
          </w:p>
        </w:tc>
      </w:tr>
      <w:tr>
        <w:trPr>
          <w:trHeight w:val="61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0.0 - 548.0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0.0 - 658.0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0.0 - 383.0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Urine Creatinine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72.9 (47.9)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71.3 (46.0)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72.0 (50.7)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 (40.4 - 88.1)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64.8 (43.0 - 85.0)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65.3 (44.6 - 85.0)</w:t>
            </w:r>
          </w:p>
        </w:tc>
      </w:tr>
      <w:tr>
        <w:trPr>
          <w:trHeight w:val="61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0.1 - 438.3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0.8 - 620.1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0.7 - 722.1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at 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(21.7%)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 at 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4,432 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1,965 (89.0%)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(75.3%)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(15.9%)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(8.8%)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at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755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 (25.1%)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(38.7%)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 at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3,947 (83.6%)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1,622 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(52.6%)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717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(30.3%)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(3.7%)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(17.1%)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2023-03-29T18:41:25Z</dcterms:modified>
  <cp:category/>
</cp:coreProperties>
</file>