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S6. Distribution of CKD 3a-4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9"/>
        <w:gridCol w:w="1915"/>
        <w:gridCol w:w="4024"/>
        <w:gridCol w:w="4109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5,880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1,400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Healthcare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M.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 LURIN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LOS PROCEDES DE SJM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SAN ISIDRO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SURQUILLO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II ANGAMOS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EDGARDO REBAGLIATI MARTINS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CARLOS ALCANTARA 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ULDARICO ROCCA 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II CANETE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CHEQUEOS LARCO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CHINCHA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JUAN JOSE RODRIGUEZ LAZO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PABLO BERMUDEZ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PROCERES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SANTA CRUZ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VILLA MARIA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2023-03-29T18:41:30Z</dcterms:modified>
  <cp:category/>
</cp:coreProperties>
</file>