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S7. Distribution of CKD 3b-4 patients included in the analysis within 17 health facilities of the EsSalud Rebagliati Network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59"/>
        <w:gridCol w:w="1732"/>
        <w:gridCol w:w="4024"/>
        <w:gridCol w:w="3926"/>
        <w:gridCol w:w="2826"/>
      </w:tblGrid>
      <w:tr>
        <w:trPr>
          <w:trHeight w:val="574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2,798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1,933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683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, N = 182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Healthcare center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C. M. MALA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(23.1%)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 LURIN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III LOS PROCEDES DE SJM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(7.8%)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III SAN ISIDRO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 III SURQUILLO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HOSP. II ANGAMOS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(69.9%)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(7.1%)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EDGARDO REBAGLIATI MARTINS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(13.6%)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I CARLOS ALCANTARA B.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I ULDARICO ROCCA F.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(8.6%)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II CANETE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CHEQUEOS LARCO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CHINCHA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(5.1%)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JUAN JOSE RODRIGUEZ LAZO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PABLO BERMUDEZ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(7.4%)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PROCERES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(5.6%)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SANTA CRUZ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POLICLINICO VILLA MARIA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(87.5%)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2023-03-29T18:41:32Z</dcterms:modified>
  <cp:category/>
</cp:coreProperties>
</file>