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Table S8. Cumulative incidence of kidney failure and death without kidney failure in patients with CKD stages 3a-3b-4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34"/>
        <w:gridCol w:w="1034"/>
        <w:gridCol w:w="2172"/>
        <w:gridCol w:w="1157"/>
        <w:gridCol w:w="2416"/>
      </w:tblGrid>
      <w:tr>
        <w:trPr>
          <w:trHeight w:val="617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without kidney failure</w:t>
            </w:r>
          </w:p>
        </w:tc>
      </w:tr>
      <w:tr>
        <w:trPr>
          <w:trHeight w:val="577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(0.49% to 0.86%)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(3.38% to 4.25%)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(1.24% to 1.79%)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(6.89% to 8.08%)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(1.9% to 2.57%)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(10.48% to 11.91%)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(2.5% to 3.26%)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15.58%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(14.75% to 16.41%)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(2.95% to 3.8%)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(19.48% to 21.42%)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2023-03-29T17:15:04Z</dcterms:modified>
  <cp:category/>
</cp:coreProperties>
</file>