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Table S9. Cumulative incidence of kidney failure and death without kidney failure in patients with CKD stages 3b-4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34"/>
        <w:gridCol w:w="1034"/>
        <w:gridCol w:w="2172"/>
        <w:gridCol w:w="1157"/>
        <w:gridCol w:w="2416"/>
      </w:tblGrid>
      <w:tr>
        <w:trPr>
          <w:trHeight w:val="617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without kidney failure</w:t>
            </w:r>
          </w:p>
        </w:tc>
      </w:tr>
      <w:tr>
        <w:trPr>
          <w:trHeight w:val="577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(1.08% to 1.99%)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(5.12% to 6.88%)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(2.5% to 3.79%)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(9.57% to 11.86%)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(3.93% to 5.5%)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15.51%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(14.16% to 16.84%)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(5.12% to 6.9%)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21.03%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(19.48% to 22.55%)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(5.89% to 7.83%)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(24.84% to 28.3%)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2023-03-29T17:15:04Z</dcterms:modified>
  <cp:category/>
</cp:coreProperties>
</file>