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</w:pPr>
      <w:r>
        <w:t xml:space="preserve">Table 1. Baseline characteristics of the study population according CKD Stages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63"/>
        <w:gridCol w:w="2465"/>
        <w:gridCol w:w="2465"/>
      </w:tblGrid>
      <w:tr>
        <w:trPr>
          <w:cantSplit/>
          <w:trHeight w:val="61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CKD Stages 3a-3b-4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CKD Stages 3b-4</w:t>
            </w:r>
          </w:p>
        </w:tc>
      </w:tr>
      <w:tr>
        <w:trPr>
          <w:cantSplit/>
          <w:trHeight w:val="60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N = 7,519</w:t>
            </w:r>
            <w:r>
              <w:rPr>
                <w:rFonts w:ascii="Arial" w:hAnsi="Arial" w:eastAsia="Arial" w:cs="Arial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N = 2,798</w:t>
            </w:r>
            <w:r>
              <w:rPr>
                <w:rFonts w:ascii="Arial" w:hAnsi="Arial" w:eastAsia="Arial" w:cs="Arial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7,519 (100.0%)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2,798 (100.0%)</w:t>
            </w:r>
          </w:p>
        </w:tc>
      </w:tr>
      <w:tr>
        <w:trPr>
          <w:cantSplit/>
          <w:trHeight w:val="57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4,107 (54.6%)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1,398 (50.0%)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3,412 (45.4%)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1,400 (50.0%)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74.0 (10.2)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75.6 (10.6)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Median (IQR)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75.0 (68.0 - 81.0)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77.0 (70.0 - 83.0)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23.0 - 97.0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23.0 - 97.0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Persistent albuminuria categories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A1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4,772 (63.5%)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1,494 (53.4%)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A2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2,018 (26.8%)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860 (30.7%)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A3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729 (9.7%)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444 (15.9%)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GFR categories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G3a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4,721 (62.8%)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G3b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2,207 (29.4%)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2,207 (78.9%)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G4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591 (7.9%)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591 (21.1%)</w:t>
            </w:r>
          </w:p>
        </w:tc>
      </w:tr>
      <w:tr>
        <w:trPr>
          <w:cantSplit/>
          <w:trHeight w:val="57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CKD KDIGO classification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Moderately increased risk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3,278 (43.6%)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High risk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2,460 (32.7%)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1,302 (46.5%)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Very high risk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1,781 (23.7%)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1,496 (53.5%)</w:t>
            </w:r>
          </w:p>
        </w:tc>
      </w:tr>
      <w:tr>
        <w:trPr>
          <w:cantSplit/>
          <w:trHeight w:val="57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Creatinine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1.4 (0.4)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1.7 (0.5)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Median (IQR)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1.3 (1.1 - 1.5)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1.6 (1.4 - 1.9)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0.8 - 3.9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1.1 - 3.9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eGFR using CKD-EPI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46.2 (9.8)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35.7 (7.3)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Median (IQR)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48.7 (40.4 - 53.8)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37.3 (31.4 - 41.7)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15.0 - 60.0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15.0 - 45.0</w:t>
            </w:r>
          </w:p>
        </w:tc>
      </w:tr>
      <w:tr>
        <w:trPr>
          <w:cantSplit/>
          <w:trHeight w:val="571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Albumin-to-creatinine ratio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248.6 (3,044.4)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334.1 (3,050.8)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Median (IQR)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14.6 (4.5 - 66.1)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26.0 (6.5 - 153.8)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0.0 - 144,870.6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0.0 - 144,870.6</w:t>
            </w:r>
          </w:p>
        </w:tc>
      </w:tr>
      <w:tr>
        <w:trPr>
          <w:cantSplit/>
          <w:trHeight w:val="571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Albuminuria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8.3 (28.3)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13.1 (36.3)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Median (IQR)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1.0 (0.3 - 4.0)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1.7 (0.4 - 10.1)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0.0 - 658.0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0.0 - 658.0</w:t>
            </w:r>
          </w:p>
        </w:tc>
      </w:tr>
      <w:tr>
        <w:trPr>
          <w:cantSplit/>
          <w:trHeight w:val="57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Creatinine in the Urine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72.4 (47.5)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71.4 (47.0)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Median (IQR)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63.3 (41.3 - 86.0)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64.9 (43.3 - 85.0)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0.1 - 722.1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0.7 - 722.1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Hypertension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4,486 (59.7%)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1,636 (58.5%)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Diabetes Mellitus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1,845 (24.5%)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674 (24.1%)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Body Mass Index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27.2 (4.5)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27.0 (4.5)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Median (IQR)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26.7 (24.2 - 29.7)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26.5 (23.8 - 29.4)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16.6 - 47.1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16.9 - 45.8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5,530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2,015</w:t>
            </w:r>
          </w:p>
        </w:tc>
      </w:tr>
      <w:tr>
        <w:trPr>
          <w:cantSplit/>
          <w:trHeight w:val="571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Albumine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4.0 (0.7)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4.0 (0.8)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Median (IQR)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4.1 (3.9 - 4.4)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4.2 (3.9 - 4.4)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0.1 - 4.9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0.1 - 4.9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7,448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2,755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Hemoglobine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12.5 (1.7)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11.9 (1.7)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Median (IQR)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12.6 (11.5 - 13.6)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12.0 (10.9 - 13.0)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5.8 - 18.1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5.8 - 18.1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5,415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2,044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Systolic blood preassure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126.7 (16.8)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129.5 (18.7)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Median (IQR)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120.0 (120.0 - 130.0)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130.0 (120.0 - 140.0)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90.0 - 220.0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90.0 - 220.0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1,763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618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Dyastolic blood preassure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76.0 (27.3)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77.8 (39.7)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Median (IQR)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80.0 (70.0 - 80.0)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80.0 (70.0 - 80.0)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7.0 - 806.0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7.0 - 806.0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1,765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618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Death at 2 years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640 (8.5%)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358 (12.8%)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Outcome at 2 years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Alive w/o Kidney Failure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6,842 (91.0%)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2,410 (86.1%)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Death w/o Kidney Failure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563 (7.5%)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300 (10.7%)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Kidney Failure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114 (1.5%)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88 (3.1%)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Death at 5 years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1,539 (20.5%)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784 (28.0%)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Outcome at 5 years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Alive w/o Kidney Failure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5,880 (78.2%)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1,933 (69.1%)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Death w/o Kidney Failure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1,400 (18.6%)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683 (24.4%)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Kidney Failure</w:t>
            </w:r>
          </w:p>
        </w:tc>
        <w:tc>
          <w:tcPr>
            <w:tcBorders>
              <w:bottom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239 (3.2%)</w:t>
            </w:r>
          </w:p>
        </w:tc>
        <w:tc>
          <w:tcPr>
            <w:tcBorders>
              <w:bottom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182 (6.5%)</w:t>
            </w:r>
          </w:p>
        </w:tc>
      </w:tr>
      <w:tr>
        <w:trPr>
          <w:cantSplit/>
          <w:trHeight w:val="360" w:hRule="auto"/>
        </w:trPr>
        <w:tc>
          <w:tcPr>
            <w:gridSpan w:val="3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2022-09-07T17:47:45Z</dcterms:modified>
  <cp:category/>
</cp:coreProperties>
</file>