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</w:pPr>
      <w:r>
        <w:t xml:space="preserve">Table 2. Performance measures of KFRE in the external dataset of patients with CKD Stages 3a-4 and 3b-4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28"/>
        <w:gridCol w:w="2795"/>
        <w:gridCol w:w="2795"/>
        <w:gridCol w:w="2673"/>
        <w:gridCol w:w="2795"/>
      </w:tblGrid>
      <w:tr>
        <w:trPr>
          <w:cantSplit/>
          <w:trHeight w:val="617" w:hRule="auto"/>
          <w:tblHeader/>
        </w:trPr>
        <w:tc>
          <w:tcPr>
            <w:vMerge w:val="restart"/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Validation aspect and performance measure</w:t>
            </w:r>
          </w:p>
        </w:tc>
        <w:tc>
          <w:tcPr>
            <w:gridSpan w:val="2"/>
            <w:tcBorders>
              <w:bottom w:val="single" w:sz="8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CKD Stages 3a-3b-4</w:t>
            </w:r>
          </w:p>
        </w:tc>
        <w:tc>
          <w:tcPr>
            <w:gridSpan w:val="2"/>
            <w:tcBorders>
              <w:bottom w:val="single" w:sz="8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CKD Stages 3b-4</w:t>
            </w:r>
          </w:p>
        </w:tc>
      </w:tr>
      <w:tr>
        <w:trPr>
          <w:cantSplit/>
          <w:trHeight w:val="615" w:hRule="auto"/>
          <w:tblHeader/>
        </w:trPr>
        <w:tc>
          <w:tcPr>
            <w:vMerge/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</w:p>
        </w:tc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 = 2 year</w:t>
            </w:r>
          </w:p>
        </w:tc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 = 5 year</w:t>
            </w:r>
          </w:p>
        </w:tc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 = 2 year</w:t>
            </w:r>
          </w:p>
        </w:tc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 = 5 year</w:t>
            </w:r>
          </w:p>
        </w:tc>
      </w:tr>
      <w:tr>
        <w:trPr>
          <w:cantSplit/>
          <w:trHeight w:val="574" w:hRule="auto"/>
        </w:trPr>
        <w:tc>
          <w:tcPr>
            <w:gridSpan w:val="5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Calibration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Average predicted risk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0.96%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3.18%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2.36%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7.66%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Average observed proportion (95% CI)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1.52% (1.24% to 1.79%)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3.37% (2.95% to 3.8%)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3.15% (2.5% to 3.79%)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6.86% (5.89% to 7.84%)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O/E ratio (95% CI)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1.57 (1.39 to 1.76)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1.06 (0.93 to 1.19)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1.33 (1.13 to 1.54)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0.9 (0.75 to 1.04)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Calibration intercept (95% CI)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0.18 (-0.1 to 0.45)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-0.26 (-0.45 to -0.07)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0.16 (-0.12 to 0.44)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-0.29 (-0.48 to -0.1)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 Calibration slope (95% CI)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0.79 (0.61 to 0.96)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0.75 (0.65 to 0.86)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0.82 (0.6 to 1.03)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0.79 (0.66 to 0.92)</w:t>
            </w:r>
          </w:p>
        </w:tc>
      </w:tr>
      <w:tr>
        <w:trPr>
          <w:cantSplit/>
          <w:trHeight w:val="571" w:hRule="auto"/>
        </w:trPr>
        <w:tc>
          <w:tcPr>
            <w:gridSpan w:val="5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Discrimination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C-index up to t-years (95% CI)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0.853 (0.812 to 0.892)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0.827 (0.799 to 0.857)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0.848 (0.805 to 0.886)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0.827 (0.799 to 0.857)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 C/D AUC, at t years (95% CI)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0.855 (0.816 to 0.895)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0.805 (0.787 to 0.824)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0.853 (0.811 to 0.895)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0.805 (0.787 to 0.824)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 statistic (95% CI)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2.5 (2.17 to 2.83)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2.46 (2.22 to 2.7)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2.25 (1.9 to 2.59)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2.17 (1.9 to 2.43)</w:t>
            </w:r>
          </w:p>
        </w:tc>
      </w:tr>
      <w:tr>
        <w:trPr>
          <w:cantSplit/>
          <w:trHeight w:val="57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R2D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59%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55%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53%</w:t>
            </w:r>
          </w:p>
        </w:tc>
      </w:tr>
      <w:tr>
        <w:trPr>
          <w:cantSplit/>
          <w:trHeight w:val="614" w:hRule="auto"/>
        </w:trPr>
        <w:tc>
          <w:tcPr>
            <w:gridSpan w:val="5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Overall prediction error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Brier score (95% CI)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0.014 (0.011 to 0.016)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0.025 (0.021 to 0.028)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0.028 (0.022 to 0.033)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0.045 (0.039 to 0.052)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Scaled Brier score (95% CI)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8.3% (4.4% to 10.9%)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22.3% (18.5% to 25.8%)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9.4% (5.5% to 14%)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25.9% (20.2% to 32.2%)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2022-09-07T17:50:51Z</dcterms:modified>
  <cp:category/>
</cp:coreProperties>
</file>