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</w:pPr>
      <w:r>
        <w:t xml:space="preserve">Table S4. Baseline characteristics of the study patients at CKD Stages 3b or 4 for all predictors, stratified by outcome at 2 year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3"/>
        <w:gridCol w:w="2392"/>
        <w:gridCol w:w="4489"/>
        <w:gridCol w:w="3877"/>
      </w:tblGrid>
      <w:tr>
        <w:trPr>
          <w:cantSplit/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Overall, N = 2,797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No kidney failure  within 2 year, N = 2,709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  within 2 year, N = 88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2,797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2,709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88 (100.0%)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1,398 (50.0%)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1,363 (50.3%)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35 (39.8%)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1,399 (50.0%)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1,346 (49.7%)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 (60.2%)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75.6 (10.6)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75.9 (10.4)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66.1 (12.1)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77.0 (70.0, 83.0)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77.0 (70.0, 83.0)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67.0 (59.0, 74.0)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23.0, 97.0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23.0, 97.0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36.0, 88.0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Persistent albuminuria categories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1,494 (53.4%)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1,483 (54.7%)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 (12.5%)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859 (30.7%)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829 (30.6%)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 (34.1%)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444 (15.9%)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397 (14.7%)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47 (53.4%)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GFR categories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G3a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G3b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2,207 (78.9%)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2,171 (80.1%)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36 (40.9%)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590 (21.1%)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538 (19.9%)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 (59.1%)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Creatinine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1.7 (0.5)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1.7 (0.4)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2.3 (0.6)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1.6 (1.4, 1.9)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1.6 (1.4, 1.9)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2.1 (1.8, 2.5)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1.1, 3.9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1.1, 3.8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1.2, 3.9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eGFR using MDRD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38.8 (7.9)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39.1 (7.7)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29.9 (8.2)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40.4 (33.9, 45.0)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40.6 (34.4, 45.1)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29.4 (22.7, 36.3)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15.6, 58.1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15.6, 58.1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16.6, 47.4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Albumin-to-creatinine ratio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334.2 (3,051.4)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306.9 (3,082.9)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1,172.8 (1,631.1)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26.0 (6.5, 153.8)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24.6 (6.3, 145.4)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367.7 (149.1, 1,811.8)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0.0, 144,870.6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0.0, 144,870.6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2.5, 7,462.7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Albuminuria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13.1 (36.3)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11.7 (33.3)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56.1 (77.1)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1.7 (0.4, 10.1)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1.5 (0.4, 8.7)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16.3 (8.9, 66.6)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0.0, 658.0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0.0, 658.0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0.2, 348.1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Creatinine in the Urine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71.4 (47.0)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71.7 (47.4)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62.1 (33.5)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64.9 (43.3, 85.0)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65.0 (43.7, 85.0)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55.3 (38.1, 85.0)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0.7, 722.1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0.7, 722.1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6.4, 218.6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1,636 (58.5%)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1,581 (58.4%)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55 (62.5%)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Diabetes Mellitus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674 (24.1%)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635 (23.4%)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39 (44.3%)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27.0 (4.5)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26.9 (4.4)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27.4 (4.7)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26.5 (23.8, 29.4)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26.5 (23.8, 29.4)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26.5 (25.0, 30.5)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16.9, 45.8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16.9, 45.8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19.5, 36.0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1,953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(0.9)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4.2 (3.9, 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4.2 (3.9, 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4.4 (3.7, 4.5)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0.1, 4.9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0.1, 4.9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3.0, 4.6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2,754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2,669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85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Hemoglobine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11.9 (1.7)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12.0 (1.7)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10.8 (2.0)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12.0 (10.9, 13.0)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12.0 (10.9, 13.0)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10.6 (9.9, 12.2)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5.8, 18.1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5.8, 18.1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6.5, 15.8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2,043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1,985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Systolic blood preassure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129.5 (18.7)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129.4 (18.5)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131.7 (22.1)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130.0 (120.0, 140.0)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130.0 (120.0, 140.0)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130.0 (120.0, 140.0)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618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Dyastolic blood preassure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77.8 (39.7)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77.8 (40.4)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76.5 (10.1)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7.0, 806.0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7.0, 806.0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60.0, 110.0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618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death2y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358 (12.8%)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300 (11.1%)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58 (65.9%)</w:t>
            </w:r>
          </w:p>
        </w:tc>
      </w:tr>
      <w:tr>
        <w:trPr>
          <w:cantSplit/>
          <w:trHeight w:val="615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eventd2ylab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Alive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2,409 (86.1%)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2,409 (88.9%)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Death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300 (10.7%)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300 (11.1%)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88 (3.1%)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88 (100.0%)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CKD KDIGO classification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Moderately increased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High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1,302 (46.5%)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1,294 (47.8%)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 (9.1%)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Very high risk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1,495 (53.5%)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1,415 (52.2%)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 (90.9%)</w:t>
            </w:r>
          </w:p>
        </w:tc>
      </w:tr>
      <w:tr>
        <w:trPr>
          <w:cantSplit/>
          <w:trHeight w:val="360" w:hRule="auto"/>
        </w:trPr>
        <w:tc>
          <w:tcPr>
            <w:gridSpan w:val="4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2022-07-11T02:02:11Z</dcterms:modified>
  <cp:category/>
</cp:coreProperties>
</file>