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UC022 – Aprovar/Recusar Aluno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UC022 – Aprovar/Recusar Aluno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Permite ao orientador (de Estágio, TCC ou Monitoria) aprovar ou recusar a solicitação de orientação feita por um aluno, assegurando a alocação correta e o acompanhamento conforme a demanda.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ORIENT. ESTÁGIO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ORIENT. TCC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PROFESSOR (no papel de orientador de monitoria)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aluno deve ter submetido uma solicitação de orientação.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orientador deve estar autenticado no sistema.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A solicitação é aprovada e o vínculo aluno-orientador é formalizado no sistema.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Ou a solicitação é recusada e o aluno é notificado.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6. Fluxo Principal: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orientador acessa a área de solicitações pendentes.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exibe a lista de alunos que solicitaram orientação.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orientador seleciona uma solicitação.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exibe os dados do aluno e informações sobre o tipo de orientação.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orientador escolhe entre aprovar ou recusar a solicitação.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Em caso de recusa, o orientador informa o motivo.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registra a decisão e notifica o aluno.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A1 – Informações insuficientes na solicitação: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alerta o orientador e permite solicitar dados adicionais ao aluno antes da decisão.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RN04: O aluno poderá cadastrar e solicitar um orientador de estágio somente quanto tiver no mínimo 15% do curso, para estágio não obrigatório, e 60% do curso concluído para o estágio obrigatório.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RN07: O aluno poderá submeter documentos do TCC conforme as orientações do orientador.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RN10: O aluno poderá se candidatar a vagas de monitoria disponíveis nas disciplinas.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RN11: O professor da disciplina poderá criar vagas de monitoria e aceitar ou recusar candidatos.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RNF01: O sistema deve permitir que orientadores filtrem solicitações por tipo (TCC, Estágio, Monitoria).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RNF02: A decisão deve ser registrada em histórico com data e hora.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RNF03: O sistema deve notificar o aluno imediatamente após a decisão.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LibreOffice/25.2.2.2$Windows_X86_64 LibreOffice_project/7370d4be9e3cf6031a51beef54ff3bda878e3fac</Application>
  <AppVersion>15.0000</AppVersion>
  <Pages>2</Pages>
  <Words>328</Words>
  <Characters>1724</Characters>
  <CharactersWithSpaces>1997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2025-05-10T20:53:32Z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