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entral-coast-sa2-intelligence-report"/>
      <w:r>
        <w:t xml:space="preserve">Central Coast SA2 Intelligence Report</w:t>
      </w:r>
      <w:bookmarkEnd w:id="20"/>
    </w:p>
    <w:p>
      <w:pPr>
        <w:pStyle w:val="FirstParagraph"/>
      </w:pPr>
      <w:r>
        <w:rPr>
          <w:b/>
        </w:rPr>
        <w:t xml:space="preserve">Prepared: August 2026 | Indicators: July 2026 | Data Coverage: 30 SA2 areas, Central Coast LGA (NSW)</w:t>
      </w:r>
    </w:p>
    <w:p>
      <w:pPr>
        <w:pStyle w:val="Heading2"/>
      </w:pPr>
      <w:bookmarkStart w:id="21" w:name="executive-summary"/>
      <w:r>
        <w:t xml:space="preserve">Executive Summary</w:t>
      </w:r>
      <w:bookmarkEnd w:id="21"/>
    </w:p>
    <w:p>
      <w:pPr>
        <w:pStyle w:val="FirstParagraph"/>
      </w:pPr>
      <w:r>
        <w:t xml:space="preserve">The Central Coast presents a region of stark contrasts, with pockets of affluence alongside areas experiencing significant socioeconomic stress. The LGA’s total population across 30 SA2 areas exceeds 300,000 residents, with notable growth concentrated in newer developments like</w:t>
      </w:r>
      <w:r>
        <w:t xml:space="preserve"> </w:t>
      </w:r>
      <w:r>
        <w:rPr>
          <w:b/>
        </w:rPr>
        <w:t xml:space="preserve">Warnervale-Wadalba</w:t>
      </w:r>
      <w:r>
        <w:t xml:space="preserve"> </w:t>
      </w:r>
      <w:r>
        <w:t xml:space="preserve">(+650 persons) and</w:t>
      </w:r>
      <w:r>
        <w:t xml:space="preserve"> </w:t>
      </w:r>
      <w:r>
        <w:rPr>
          <w:b/>
        </w:rPr>
        <w:t xml:space="preserve">Gosford-Springfield</w:t>
      </w:r>
      <w:r>
        <w:t xml:space="preserve"> </w:t>
      </w:r>
      <w:r>
        <w:t xml:space="preserve">(+516 persons). While unemployment rates vary from just</w:t>
      </w:r>
      <w:r>
        <w:t xml:space="preserve"> </w:t>
      </w:r>
      <w:r>
        <w:rPr>
          <w:b/>
        </w:rPr>
        <w:t xml:space="preserve">1.2%</w:t>
      </w:r>
      <w:r>
        <w:t xml:space="preserve"> </w:t>
      </w:r>
      <w:r>
        <w:t xml:space="preserve">in</w:t>
      </w:r>
      <w:r>
        <w:t xml:space="preserve"> </w:t>
      </w:r>
      <w:r>
        <w:rPr>
          <w:b/>
        </w:rPr>
        <w:t xml:space="preserve">Avoca Beach-Copacabana</w:t>
      </w:r>
      <w:r>
        <w:t xml:space="preserve"> </w:t>
      </w:r>
      <w:r>
        <w:t xml:space="preserve">to</w:t>
      </w:r>
      <w:r>
        <w:t xml:space="preserve"> </w:t>
      </w:r>
      <w:r>
        <w:rPr>
          <w:b/>
        </w:rPr>
        <w:t xml:space="preserve">8.9%</w:t>
      </w:r>
      <w:r>
        <w:t xml:space="preserve"> </w:t>
      </w:r>
      <w:r>
        <w:t xml:space="preserve">in</w:t>
      </w:r>
      <w:r>
        <w:t xml:space="preserve"> </w:t>
      </w:r>
      <w:r>
        <w:rPr>
          <w:b/>
        </w:rPr>
        <w:t xml:space="preserve">Wyong</w:t>
      </w:r>
      <w:r>
        <w:t xml:space="preserve">, housing affordability pressures are universal, with median house prices ranging from</w:t>
      </w:r>
      <w:r>
        <w:t xml:space="preserve"> </w:t>
      </w:r>
      <w:r>
        <w:rPr>
          <w:b/>
        </w:rPr>
        <w:t xml:space="preserve">$820,500</w:t>
      </w:r>
      <w:r>
        <w:t xml:space="preserve"> </w:t>
      </w:r>
      <w:r>
        <w:t xml:space="preserve">to</w:t>
      </w:r>
      <w:r>
        <w:t xml:space="preserve"> </w:t>
      </w:r>
      <w:r>
        <w:rPr>
          <w:b/>
        </w:rPr>
        <w:t xml:space="preserve">$1,947,000</w:t>
      </w:r>
      <w:r>
        <w:t xml:space="preserve">. Crime patterns reveal concerning disparities, with assault rates spanning from</w:t>
      </w:r>
      <w:r>
        <w:t xml:space="preserve"> </w:t>
      </w:r>
      <w:r>
        <w:rPr>
          <w:b/>
        </w:rPr>
        <w:t xml:space="preserve">0.09 per 1,000</w:t>
      </w:r>
      <w:r>
        <w:t xml:space="preserve"> </w:t>
      </w:r>
      <w:r>
        <w:t xml:space="preserve">in</w:t>
      </w:r>
      <w:r>
        <w:t xml:space="preserve"> </w:t>
      </w:r>
      <w:r>
        <w:rPr>
          <w:b/>
        </w:rPr>
        <w:t xml:space="preserve">Lake Munmorah-Mannering Park</w:t>
      </w:r>
      <w:r>
        <w:t xml:space="preserve"> </w:t>
      </w:r>
      <w:r>
        <w:t xml:space="preserve">to</w:t>
      </w:r>
      <w:r>
        <w:t xml:space="preserve"> </w:t>
      </w:r>
      <w:r>
        <w:rPr>
          <w:b/>
        </w:rPr>
        <w:t xml:space="preserve">12.36 per 1,000</w:t>
      </w:r>
      <w:r>
        <w:t xml:space="preserve"> </w:t>
      </w:r>
      <w:r>
        <w:t xml:space="preserve">in</w:t>
      </w:r>
      <w:r>
        <w:t xml:space="preserve"> </w:t>
      </w:r>
      <w:r>
        <w:rPr>
          <w:b/>
        </w:rPr>
        <w:t xml:space="preserve">Wyong</w:t>
      </w:r>
      <w:r>
        <w:t xml:space="preserve">.</w:t>
      </w:r>
    </w:p>
    <w:p>
      <w:pPr>
        <w:pStyle w:val="BodyText"/>
      </w:pPr>
      <w:r>
        <w:rPr>
          <w:b/>
        </w:rPr>
        <w:t xml:space="preserve">Five Headline Findings:</w:t>
      </w:r>
    </w:p>
    <w:p>
      <w:pPr>
        <w:numPr>
          <w:ilvl w:val="0"/>
          <w:numId w:val="1001"/>
        </w:numPr>
        <w:pStyle w:val="Compact"/>
      </w:pPr>
      <w:r>
        <w:rPr>
          <w:b/>
        </w:rPr>
        <w:t xml:space="preserve">Warnervale-Wadalba</w:t>
      </w:r>
      <w:r>
        <w:t xml:space="preserve"> </w:t>
      </w:r>
      <w:r>
        <w:t xml:space="preserve">leads population growth (+650, 2.9%), driven by internal migration (+469), signaling new housing development appeal</w:t>
      </w:r>
    </w:p>
    <w:p>
      <w:pPr>
        <w:numPr>
          <w:ilvl w:val="0"/>
          <w:numId w:val="1001"/>
        </w:numPr>
        <w:pStyle w:val="Compact"/>
      </w:pPr>
      <w:r>
        <w:t xml:space="preserve">Affluent coastal SA2s (</w:t>
      </w:r>
      <w:r>
        <w:rPr>
          <w:b/>
        </w:rPr>
        <w:t xml:space="preserve">Avoca Beach-Copacabana</w:t>
      </w:r>
      <w:r>
        <w:t xml:space="preserve">,</w:t>
      </w:r>
      <w:r>
        <w:t xml:space="preserve"> </w:t>
      </w:r>
      <w:r>
        <w:rPr>
          <w:b/>
        </w:rPr>
        <w:t xml:space="preserve">Wamberal-Forresters Beach</w:t>
      </w:r>
      <w:r>
        <w:t xml:space="preserve">,</w:t>
      </w:r>
      <w:r>
        <w:t xml:space="preserve"> </w:t>
      </w:r>
      <w:r>
        <w:rPr>
          <w:b/>
        </w:rPr>
        <w:t xml:space="preserve">Terrigal-North Avoca</w:t>
      </w:r>
      <w:r>
        <w:t xml:space="preserve">) show unemployment below 2%, high education levels, and SEIFA indices exceeding 1,075</w:t>
      </w:r>
    </w:p>
    <w:p>
      <w:pPr>
        <w:numPr>
          <w:ilvl w:val="0"/>
          <w:numId w:val="1001"/>
        </w:numPr>
        <w:pStyle w:val="Compact"/>
      </w:pPr>
      <w:r>
        <w:rPr>
          <w:b/>
        </w:rPr>
        <w:t xml:space="preserve">Wyong</w:t>
      </w:r>
      <w:r>
        <w:t xml:space="preserve"> </w:t>
      </w:r>
      <w:r>
        <w:t xml:space="preserve">and</w:t>
      </w:r>
      <w:r>
        <w:t xml:space="preserve"> </w:t>
      </w:r>
      <w:r>
        <w:rPr>
          <w:b/>
        </w:rPr>
        <w:t xml:space="preserve">Gorokan-Kanwal-Charmhaven</w:t>
      </w:r>
      <w:r>
        <w:t xml:space="preserve"> </w:t>
      </w:r>
      <w:r>
        <w:t xml:space="preserve">face compound disadvantage: unemployment above 6%, indigenous populations near 6%, and elevated crime rates</w:t>
      </w:r>
    </w:p>
    <w:p>
      <w:pPr>
        <w:numPr>
          <w:ilvl w:val="0"/>
          <w:numId w:val="1001"/>
        </w:numPr>
        <w:pStyle w:val="Compact"/>
      </w:pPr>
      <w:r>
        <w:t xml:space="preserve">Housing costs burden lower-income areas, with price-to-income ratios exceeding 17:1 in disadvantaged suburbs while remaining around 8-10:1 in affluent zones</w:t>
      </w:r>
    </w:p>
    <w:p>
      <w:pPr>
        <w:numPr>
          <w:ilvl w:val="0"/>
          <w:numId w:val="1001"/>
        </w:numPr>
        <w:pStyle w:val="Compact"/>
      </w:pPr>
      <w:r>
        <w:t xml:space="preserve">Tourism infrastructure concentrates in</w:t>
      </w:r>
      <w:r>
        <w:t xml:space="preserve"> </w:t>
      </w:r>
      <w:r>
        <w:rPr>
          <w:b/>
        </w:rPr>
        <w:t xml:space="preserve">Gosford-Springfield</w:t>
      </w:r>
      <w:r>
        <w:t xml:space="preserve"> </w:t>
      </w:r>
      <w:r>
        <w:t xml:space="preserve">(46,507,000 total spend) and coastal areas, with</w:t>
      </w:r>
      <w:r>
        <w:t xml:space="preserve"> </w:t>
      </w:r>
      <w:r>
        <w:rPr>
          <w:b/>
        </w:rPr>
        <w:t xml:space="preserve">The Entrance</w:t>
      </w:r>
      <w:r>
        <w:t xml:space="preserve"> </w:t>
      </w:r>
      <w:r>
        <w:t xml:space="preserve">hosting 94 tourism businesses</w:t>
      </w:r>
    </w:p>
    <w:p>
      <w:pPr>
        <w:pStyle w:val="Heading2"/>
      </w:pPr>
      <w:bookmarkStart w:id="22" w:name="population-demographics"/>
      <w:r>
        <w:t xml:space="preserve">1. Population &amp; Demographics</w:t>
      </w:r>
      <w:bookmarkEnd w:id="22"/>
    </w:p>
    <w:p>
      <w:pPr>
        <w:pStyle w:val="FirstParagraph"/>
      </w:pPr>
      <w:r>
        <w:t xml:space="preserve">The Central Coast’s 30 SA2 areas demonstrate diverse demographic profiles.</w:t>
      </w:r>
      <w:r>
        <w:t xml:space="preserve"> </w:t>
      </w:r>
      <w:r>
        <w:rPr>
          <w:b/>
        </w:rPr>
        <w:t xml:space="preserve">Gorokan-Kanwal-Charmhaven</w:t>
      </w:r>
      <w:r>
        <w:t xml:space="preserve"> </w:t>
      </w:r>
      <w:r>
        <w:t xml:space="preserve">is the most populous SA2 (22,740), followed by</w:t>
      </w:r>
      <w:r>
        <w:t xml:space="preserve"> </w:t>
      </w:r>
      <w:r>
        <w:rPr>
          <w:b/>
        </w:rPr>
        <w:t xml:space="preserve">Bateau Bay-Killarney Vale</w:t>
      </w:r>
      <w:r>
        <w:t xml:space="preserve"> </w:t>
      </w:r>
      <w:r>
        <w:t xml:space="preserve">(22,990) and</w:t>
      </w:r>
      <w:r>
        <w:t xml:space="preserve"> </w:t>
      </w:r>
      <w:r>
        <w:rPr>
          <w:b/>
        </w:rPr>
        <w:t xml:space="preserve">Umina-Booker Bay-Patonga</w:t>
      </w:r>
      <w:r>
        <w:t xml:space="preserve"> </w:t>
      </w:r>
      <w:r>
        <w:t xml:space="preserve">(25,007). Population growth varies dramatically:</w:t>
      </w:r>
      <w:r>
        <w:t xml:space="preserve"> </w:t>
      </w:r>
      <w:r>
        <w:rPr>
          <w:b/>
        </w:rPr>
        <w:t xml:space="preserve">Warnervale-Wadalba</w:t>
      </w:r>
      <w:r>
        <w:t xml:space="preserve"> </w:t>
      </w:r>
      <w:r>
        <w:t xml:space="preserve">added 650 residents (2.9% growth), while</w:t>
      </w:r>
      <w:r>
        <w:t xml:space="preserve"> </w:t>
      </w:r>
      <w:r>
        <w:rPr>
          <w:b/>
        </w:rPr>
        <w:t xml:space="preserve">Toukley-Norah Head</w:t>
      </w:r>
      <w:r>
        <w:t xml:space="preserve"> </w:t>
      </w:r>
      <w:r>
        <w:t xml:space="preserve">contracted by 19 persons (-0.2%).</w:t>
      </w:r>
    </w:p>
    <w:p>
      <w:pPr>
        <w:pStyle w:val="BodyText"/>
      </w:pPr>
      <w:r>
        <w:t xml:space="preserve">Overseas migration drives most growth, with</w:t>
      </w:r>
      <w:r>
        <w:t xml:space="preserve"> </w:t>
      </w:r>
      <w:r>
        <w:rPr>
          <w:b/>
        </w:rPr>
        <w:t xml:space="preserve">Gosford-Springfield</w:t>
      </w:r>
      <w:r>
        <w:t xml:space="preserve"> </w:t>
      </w:r>
      <w:r>
        <w:t xml:space="preserve">receiving 305 new arrivals and</w:t>
      </w:r>
      <w:r>
        <w:t xml:space="preserve"> </w:t>
      </w:r>
      <w:r>
        <w:rPr>
          <w:b/>
        </w:rPr>
        <w:t xml:space="preserve">Terrigal-North Avoca</w:t>
      </w:r>
      <w:r>
        <w:t xml:space="preserve"> </w:t>
      </w:r>
      <w:r>
        <w:t xml:space="preserve">gaining 224. However,</w:t>
      </w:r>
      <w:r>
        <w:t xml:space="preserve"> </w:t>
      </w:r>
      <w:r>
        <w:rPr>
          <w:b/>
        </w:rPr>
        <w:t xml:space="preserve">Warnervale-Wadalba</w:t>
      </w:r>
      <w:r>
        <w:t xml:space="preserve"> </w:t>
      </w:r>
      <w:r>
        <w:t xml:space="preserve">uniquely shows strong internal migration (+469), indicating domestic relocation appeal. Natural increase remains modest or negative in aging areas like</w:t>
      </w:r>
      <w:r>
        <w:t xml:space="preserve"> </w:t>
      </w:r>
      <w:r>
        <w:rPr>
          <w:b/>
        </w:rPr>
        <w:t xml:space="preserve">Toukley-Norah Head</w:t>
      </w:r>
      <w:r>
        <w:t xml:space="preserve"> </w:t>
      </w:r>
      <w:r>
        <w:t xml:space="preserve">(-111) and</w:t>
      </w:r>
      <w:r>
        <w:t xml:space="preserve"> </w:t>
      </w:r>
      <w:r>
        <w:rPr>
          <w:b/>
        </w:rPr>
        <w:t xml:space="preserve">Umina-Booker Bay-Patonga</w:t>
      </w:r>
      <w:r>
        <w:t xml:space="preserve"> </w:t>
      </w:r>
      <w:r>
        <w:t xml:space="preserve">(-86).</w:t>
      </w:r>
    </w:p>
    <w:p>
      <w:pPr>
        <w:pStyle w:val="BodyText"/>
      </w:pPr>
      <w:r>
        <w:t xml:space="preserve">Median age ranges from 35 years in</w:t>
      </w:r>
      <w:r>
        <w:t xml:space="preserve"> </w:t>
      </w:r>
      <w:r>
        <w:rPr>
          <w:b/>
        </w:rPr>
        <w:t xml:space="preserve">Warnervale-Wadalba</w:t>
      </w:r>
      <w:r>
        <w:t xml:space="preserve"> </w:t>
      </w:r>
      <w:r>
        <w:t xml:space="preserve">and</w:t>
      </w:r>
      <w:r>
        <w:t xml:space="preserve"> </w:t>
      </w:r>
      <w:r>
        <w:rPr>
          <w:b/>
        </w:rPr>
        <w:t xml:space="preserve">Kariong</w:t>
      </w:r>
      <w:r>
        <w:t xml:space="preserve"> </w:t>
      </w:r>
      <w:r>
        <w:t xml:space="preserve">to 49 in</w:t>
      </w:r>
      <w:r>
        <w:t xml:space="preserve"> </w:t>
      </w:r>
      <w:r>
        <w:rPr>
          <w:b/>
        </w:rPr>
        <w:t xml:space="preserve">Lake Munmorah-Mannering Park</w:t>
      </w:r>
      <w:r>
        <w:t xml:space="preserve"> </w:t>
      </w:r>
      <w:r>
        <w:t xml:space="preserve">and</w:t>
      </w:r>
      <w:r>
        <w:t xml:space="preserve"> </w:t>
      </w:r>
      <w:r>
        <w:rPr>
          <w:b/>
        </w:rPr>
        <w:t xml:space="preserve">Erina-Green Point</w:t>
      </w:r>
      <w:r>
        <w:t xml:space="preserve">. Youth populations (under 20) peak at</w:t>
      </w:r>
      <w:r>
        <w:t xml:space="preserve"> </w:t>
      </w:r>
      <w:r>
        <w:rPr>
          <w:b/>
        </w:rPr>
        <w:t xml:space="preserve">31.45%</w:t>
      </w:r>
      <w:r>
        <w:t xml:space="preserve"> </w:t>
      </w:r>
      <w:r>
        <w:t xml:space="preserve">in</w:t>
      </w:r>
      <w:r>
        <w:t xml:space="preserve"> </w:t>
      </w:r>
      <w:r>
        <w:rPr>
          <w:b/>
        </w:rPr>
        <w:t xml:space="preserve">Warnervale-Wadalba</w:t>
      </w:r>
      <w:r>
        <w:t xml:space="preserve">, while seniors (over 69) concentrate in</w:t>
      </w:r>
      <w:r>
        <w:t xml:space="preserve"> </w:t>
      </w:r>
      <w:r>
        <w:rPr>
          <w:b/>
        </w:rPr>
        <w:t xml:space="preserve">Lake Munmorah-Mannering Park</w:t>
      </w:r>
      <w:r>
        <w:t xml:space="preserve"> </w:t>
      </w:r>
      <w:r>
        <w:t xml:space="preserve">(25.7%) and</w:t>
      </w:r>
      <w:r>
        <w:t xml:space="preserve"> </w:t>
      </w:r>
      <w:r>
        <w:rPr>
          <w:b/>
        </w:rPr>
        <w:t xml:space="preserve">Erina-Green Point</w:t>
      </w:r>
      <w:r>
        <w:t xml:space="preserve"> </w:t>
      </w:r>
      <w:r>
        <w:t xml:space="preserve">(26.04%).</w:t>
      </w:r>
    </w:p>
    <w:p>
      <w:pPr>
        <w:pStyle w:val="BodyText"/>
      </w:pPr>
      <w:r>
        <w:t xml:space="preserve">Indigenous populations are significant in several SA2s:</w:t>
      </w:r>
      <w:r>
        <w:t xml:space="preserve"> </w:t>
      </w:r>
      <w:r>
        <w:rPr>
          <w:b/>
        </w:rPr>
        <w:t xml:space="preserve">Blue Haven-San Remo</w:t>
      </w:r>
      <w:r>
        <w:t xml:space="preserve"> </w:t>
      </w:r>
      <w:r>
        <w:t xml:space="preserve">(7.78%),</w:t>
      </w:r>
      <w:r>
        <w:t xml:space="preserve"> </w:t>
      </w:r>
      <w:r>
        <w:rPr>
          <w:b/>
        </w:rPr>
        <w:t xml:space="preserve">Wyong</w:t>
      </w:r>
      <w:r>
        <w:t xml:space="preserve"> </w:t>
      </w:r>
      <w:r>
        <w:t xml:space="preserve">(6.61%), and</w:t>
      </w:r>
      <w:r>
        <w:t xml:space="preserve"> </w:t>
      </w:r>
      <w:r>
        <w:rPr>
          <w:b/>
        </w:rPr>
        <w:t xml:space="preserve">Gorokan-Kanwal-Charmhaven</w:t>
      </w:r>
      <w:r>
        <w:t xml:space="preserve"> </w:t>
      </w:r>
      <w:r>
        <w:t xml:space="preserve">(5.64%), totaling 1,247, 583, and 1,247 persons respectively. Cultural diversity varies, with</w:t>
      </w:r>
      <w:r>
        <w:t xml:space="preserve"> </w:t>
      </w:r>
      <w:r>
        <w:rPr>
          <w:b/>
        </w:rPr>
        <w:t xml:space="preserve">Gosford-Springfield</w:t>
      </w:r>
      <w:r>
        <w:t xml:space="preserve"> </w:t>
      </w:r>
      <w:r>
        <w:t xml:space="preserve">showing the highest linguistic diversity (13.21% speak languages other than English), while rural</w:t>
      </w:r>
      <w:r>
        <w:t xml:space="preserve"> </w:t>
      </w:r>
      <w:r>
        <w:rPr>
          <w:b/>
        </w:rPr>
        <w:t xml:space="preserve">Lake Munmorah-Mannering Park</w:t>
      </w:r>
      <w:r>
        <w:t xml:space="preserve"> </w:t>
      </w:r>
      <w:r>
        <w:t xml:space="preserve">records just 2.63%.</w:t>
      </w:r>
    </w:p>
    <w:p>
      <w:pPr>
        <w:pStyle w:val="BodyText"/>
      </w:pPr>
      <w:r>
        <w:t xml:space="preserve">Population density spans from 6.1 persons/km² in rural</w:t>
      </w:r>
      <w:r>
        <w:t xml:space="preserve"> </w:t>
      </w:r>
      <w:r>
        <w:rPr>
          <w:b/>
        </w:rPr>
        <w:t xml:space="preserve">Calga-Kulnura</w:t>
      </w:r>
      <w:r>
        <w:t xml:space="preserve"> </w:t>
      </w:r>
      <w:r>
        <w:t xml:space="preserve">to 2,117 persons/km² in</w:t>
      </w:r>
      <w:r>
        <w:t xml:space="preserve"> </w:t>
      </w:r>
      <w:r>
        <w:rPr>
          <w:b/>
        </w:rPr>
        <w:t xml:space="preserve">Bateau Bay-Killarney Vale</w:t>
      </w:r>
      <w:r>
        <w:t xml:space="preserve">, reflecting the divide between coastal urbanization and hinterland acreage living.</w:t>
      </w:r>
    </w:p>
    <w:p>
      <w:pPr>
        <w:pStyle w:val="Heading2"/>
      </w:pPr>
      <w:bookmarkStart w:id="23" w:name="economic-activity-business"/>
      <w:r>
        <w:t xml:space="preserve">2. Economic Activity &amp; Business</w:t>
      </w:r>
      <w:bookmarkEnd w:id="23"/>
    </w:p>
    <w:p>
      <w:pPr>
        <w:pStyle w:val="FirstParagraph"/>
      </w:pPr>
      <w:r>
        <w:t xml:space="preserve">Business density correlates strongly with affluence and population.</w:t>
      </w:r>
      <w:r>
        <w:t xml:space="preserve"> </w:t>
      </w:r>
      <w:r>
        <w:rPr>
          <w:b/>
        </w:rPr>
        <w:t xml:space="preserve">Gosford-Springfield</w:t>
      </w:r>
      <w:r>
        <w:t xml:space="preserve"> </w:t>
      </w:r>
      <w:r>
        <w:t xml:space="preserve">dominates with 2,629 total businesses, including 150 manufacturing, 335 healthcare, and 120 tourism enterprises.</w:t>
      </w:r>
      <w:r>
        <w:t xml:space="preserve"> </w:t>
      </w:r>
      <w:r>
        <w:rPr>
          <w:b/>
        </w:rPr>
        <w:t xml:space="preserve">Terrigal-North Avoca</w:t>
      </w:r>
      <w:r>
        <w:t xml:space="preserve"> </w:t>
      </w:r>
      <w:r>
        <w:t xml:space="preserve">hosts 1,577 businesses (202 healthcare, 93 tourism), while</w:t>
      </w:r>
      <w:r>
        <w:t xml:space="preserve"> </w:t>
      </w:r>
      <w:r>
        <w:rPr>
          <w:b/>
        </w:rPr>
        <w:t xml:space="preserve">Erina-Green Point</w:t>
      </w:r>
      <w:r>
        <w:t xml:space="preserve"> </w:t>
      </w:r>
      <w:r>
        <w:t xml:space="preserve">supports 1,807 businesses with strong healthcare representation (232).</w:t>
      </w:r>
    </w:p>
    <w:p>
      <w:pPr>
        <w:pStyle w:val="BodyText"/>
      </w:pPr>
      <w:r>
        <w:t xml:space="preserve">Manufacturing concentrates in specific nodes:</w:t>
      </w:r>
      <w:r>
        <w:t xml:space="preserve"> </w:t>
      </w:r>
      <w:r>
        <w:rPr>
          <w:b/>
        </w:rPr>
        <w:t xml:space="preserve">Gosford-Springfield</w:t>
      </w:r>
      <w:r>
        <w:t xml:space="preserve"> </w:t>
      </w:r>
      <w:r>
        <w:t xml:space="preserve">(150),</w:t>
      </w:r>
      <w:r>
        <w:t xml:space="preserve"> </w:t>
      </w:r>
      <w:r>
        <w:rPr>
          <w:b/>
        </w:rPr>
        <w:t xml:space="preserve">Calga-Kulnura</w:t>
      </w:r>
      <w:r>
        <w:t xml:space="preserve"> </w:t>
      </w:r>
      <w:r>
        <w:t xml:space="preserve">(98), and</w:t>
      </w:r>
      <w:r>
        <w:t xml:space="preserve"> </w:t>
      </w:r>
      <w:r>
        <w:rPr>
          <w:b/>
        </w:rPr>
        <w:t xml:space="preserve">Chittaway Bay-Tumbi Umbi</w:t>
      </w:r>
      <w:r>
        <w:t xml:space="preserve"> </w:t>
      </w:r>
      <w:r>
        <w:t xml:space="preserve">(72). Healthcare businesses proliferate in affluent areas:</w:t>
      </w:r>
      <w:r>
        <w:t xml:space="preserve"> </w:t>
      </w:r>
      <w:r>
        <w:rPr>
          <w:b/>
        </w:rPr>
        <w:t xml:space="preserve">Erina-Green Point</w:t>
      </w:r>
      <w:r>
        <w:t xml:space="preserve"> </w:t>
      </w:r>
      <w:r>
        <w:t xml:space="preserve">(232),</w:t>
      </w:r>
      <w:r>
        <w:t xml:space="preserve"> </w:t>
      </w:r>
      <w:r>
        <w:rPr>
          <w:b/>
        </w:rPr>
        <w:t xml:space="preserve">Terrigal-North Avoca</w:t>
      </w:r>
      <w:r>
        <w:t xml:space="preserve"> </w:t>
      </w:r>
      <w:r>
        <w:t xml:space="preserve">(202), and</w:t>
      </w:r>
      <w:r>
        <w:t xml:space="preserve"> </w:t>
      </w:r>
      <w:r>
        <w:rPr>
          <w:b/>
        </w:rPr>
        <w:t xml:space="preserve">Wamberal-Forresters Beach</w:t>
      </w:r>
      <w:r>
        <w:t xml:space="preserve"> </w:t>
      </w:r>
      <w:r>
        <w:t xml:space="preserve">(144).</w:t>
      </w:r>
    </w:p>
    <w:p>
      <w:pPr>
        <w:pStyle w:val="BodyText"/>
      </w:pPr>
      <w:r>
        <w:t xml:space="preserve">Labour force participation and unemployment reveal stark divides.</w:t>
      </w:r>
      <w:r>
        <w:t xml:space="preserve"> </w:t>
      </w:r>
      <w:r>
        <w:rPr>
          <w:b/>
        </w:rPr>
        <w:t xml:space="preserve">Avoca Beach-Copacabana</w:t>
      </w:r>
      <w:r>
        <w:t xml:space="preserve"> </w:t>
      </w:r>
      <w:r>
        <w:t xml:space="preserve">achieves just</w:t>
      </w:r>
      <w:r>
        <w:t xml:space="preserve"> </w:t>
      </w:r>
      <w:r>
        <w:rPr>
          <w:b/>
        </w:rPr>
        <w:t xml:space="preserve">1.2% unemployment</w:t>
      </w:r>
      <w:r>
        <w:t xml:space="preserve"> </w:t>
      </w:r>
      <w:r>
        <w:t xml:space="preserve">from a 4,254-person labour force, with only 130 JobSeeker recipients.</w:t>
      </w:r>
      <w:r>
        <w:t xml:space="preserve"> </w:t>
      </w:r>
      <w:r>
        <w:rPr>
          <w:b/>
        </w:rPr>
        <w:t xml:space="preserve">Wamberal-Forresters Beach</w:t>
      </w:r>
      <w:r>
        <w:t xml:space="preserve"> </w:t>
      </w:r>
      <w:r>
        <w:t xml:space="preserve">(1.6% unemployment) and</w:t>
      </w:r>
      <w:r>
        <w:t xml:space="preserve"> </w:t>
      </w:r>
      <w:r>
        <w:rPr>
          <w:b/>
        </w:rPr>
        <w:t xml:space="preserve">Terrigal-North Avoca</w:t>
      </w:r>
      <w:r>
        <w:t xml:space="preserve"> </w:t>
      </w:r>
      <w:r>
        <w:t xml:space="preserve">(1.4%) demonstrate similar strength. Conversely,</w:t>
      </w:r>
      <w:r>
        <w:t xml:space="preserve"> </w:t>
      </w:r>
      <w:r>
        <w:rPr>
          <w:b/>
        </w:rPr>
        <w:t xml:space="preserve">Wyong</w:t>
      </w:r>
      <w:r>
        <w:t xml:space="preserve"> </w:t>
      </w:r>
      <w:r>
        <w:t xml:space="preserve">suffers</w:t>
      </w:r>
      <w:r>
        <w:t xml:space="preserve"> </w:t>
      </w:r>
      <w:r>
        <w:rPr>
          <w:b/>
        </w:rPr>
        <w:t xml:space="preserve">8.9% unemployment</w:t>
      </w:r>
      <w:r>
        <w:t xml:space="preserve"> </w:t>
      </w:r>
      <w:r>
        <w:t xml:space="preserve">(392 unemployed, 615 JobSeeker),</w:t>
      </w:r>
      <w:r>
        <w:t xml:space="preserve"> </w:t>
      </w:r>
      <w:r>
        <w:rPr>
          <w:b/>
        </w:rPr>
        <w:t xml:space="preserve">Gorokan-Kanwal-Charmhaven</w:t>
      </w:r>
      <w:r>
        <w:t xml:space="preserve"> </w:t>
      </w:r>
      <w:r>
        <w:t xml:space="preserve">records</w:t>
      </w:r>
      <w:r>
        <w:t xml:space="preserve"> </w:t>
      </w:r>
      <w:r>
        <w:rPr>
          <w:b/>
        </w:rPr>
        <w:t xml:space="preserve">6.1%</w:t>
      </w:r>
      <w:r>
        <w:t xml:space="preserve"> </w:t>
      </w:r>
      <w:r>
        <w:t xml:space="preserve">(666 unemployed, 1,175 JobSeeker), and</w:t>
      </w:r>
      <w:r>
        <w:t xml:space="preserve"> </w:t>
      </w:r>
      <w:r>
        <w:rPr>
          <w:b/>
        </w:rPr>
        <w:t xml:space="preserve">Blue Haven-San Remo</w:t>
      </w:r>
      <w:r>
        <w:t xml:space="preserve"> </w:t>
      </w:r>
      <w:r>
        <w:t xml:space="preserve">shows</w:t>
      </w:r>
      <w:r>
        <w:t xml:space="preserve"> </w:t>
      </w:r>
      <w:r>
        <w:rPr>
          <w:b/>
        </w:rPr>
        <w:t xml:space="preserve">6.2%</w:t>
      </w:r>
      <w:r>
        <w:t xml:space="preserve"> </w:t>
      </w:r>
      <w:r>
        <w:t xml:space="preserve">(368 unemployed, 595 JobSeeker).</w:t>
      </w:r>
    </w:p>
    <w:p>
      <w:pPr>
        <w:pStyle w:val="BodyText"/>
      </w:pPr>
      <w:r>
        <w:t xml:space="preserve">Median household income ranges from</w:t>
      </w:r>
      <w:r>
        <w:t xml:space="preserve"> </w:t>
      </w:r>
      <w:r>
        <w:rPr>
          <w:b/>
        </w:rPr>
        <w:t xml:space="preserve">$1,942/week</w:t>
      </w:r>
      <w:r>
        <w:t xml:space="preserve"> </w:t>
      </w:r>
      <w:r>
        <w:t xml:space="preserve">in</w:t>
      </w:r>
      <w:r>
        <w:t xml:space="preserve"> </w:t>
      </w:r>
      <w:r>
        <w:rPr>
          <w:b/>
        </w:rPr>
        <w:t xml:space="preserve">Jilliby-Yarramalong</w:t>
      </w:r>
      <w:r>
        <w:t xml:space="preserve"> </w:t>
      </w:r>
      <w:r>
        <w:t xml:space="preserve">and</w:t>
      </w:r>
      <w:r>
        <w:t xml:space="preserve"> </w:t>
      </w:r>
      <w:r>
        <w:rPr>
          <w:b/>
        </w:rPr>
        <w:t xml:space="preserve">$1,869</w:t>
      </w:r>
      <w:r>
        <w:t xml:space="preserve"> </w:t>
      </w:r>
      <w:r>
        <w:t xml:space="preserve">in</w:t>
      </w:r>
      <w:r>
        <w:t xml:space="preserve"> </w:t>
      </w:r>
      <w:r>
        <w:rPr>
          <w:b/>
        </w:rPr>
        <w:t xml:space="preserve">Avoca Beach-Copacabana</w:t>
      </w:r>
      <w:r>
        <w:t xml:space="preserve"> </w:t>
      </w:r>
      <w:r>
        <w:t xml:space="preserve">down to</w:t>
      </w:r>
      <w:r>
        <w:t xml:space="preserve"> </w:t>
      </w:r>
      <w:r>
        <w:rPr>
          <w:b/>
        </w:rPr>
        <w:t xml:space="preserve">$971</w:t>
      </w:r>
      <w:r>
        <w:t xml:space="preserve"> </w:t>
      </w:r>
      <w:r>
        <w:t xml:space="preserve">in</w:t>
      </w:r>
      <w:r>
        <w:t xml:space="preserve"> </w:t>
      </w:r>
      <w:r>
        <w:rPr>
          <w:b/>
        </w:rPr>
        <w:t xml:space="preserve">Toukley-Norah Head</w:t>
      </w:r>
      <w:r>
        <w:t xml:space="preserve"> </w:t>
      </w:r>
      <w:r>
        <w:t xml:space="preserve">and</w:t>
      </w:r>
      <w:r>
        <w:t xml:space="preserve"> </w:t>
      </w:r>
      <w:r>
        <w:rPr>
          <w:b/>
        </w:rPr>
        <w:t xml:space="preserve">$977</w:t>
      </w:r>
      <w:r>
        <w:t xml:space="preserve"> </w:t>
      </w:r>
      <w:r>
        <w:t xml:space="preserve">in</w:t>
      </w:r>
      <w:r>
        <w:t xml:space="preserve"> </w:t>
      </w:r>
      <w:r>
        <w:rPr>
          <w:b/>
        </w:rPr>
        <w:t xml:space="preserve">Lake Munmorah-Mannering Park</w:t>
      </w:r>
      <w:r>
        <w:t xml:space="preserve">. This income disparity drives differential price-to-income ratios and quality-of-life outcomes.</w:t>
      </w:r>
    </w:p>
    <w:p>
      <w:pPr>
        <w:pStyle w:val="Heading2"/>
      </w:pPr>
      <w:bookmarkStart w:id="24" w:name="housing-affordability"/>
      <w:r>
        <w:t xml:space="preserve">3. Housing &amp; Affordability</w:t>
      </w:r>
      <w:bookmarkEnd w:id="24"/>
    </w:p>
    <w:p>
      <w:pPr>
        <w:pStyle w:val="FirstParagraph"/>
      </w:pPr>
      <w:r>
        <w:t xml:space="preserve">Housing markets vary enormously across the Central Coast. Premium coastal properties command extraordinary prices:</w:t>
      </w:r>
      <w:r>
        <w:t xml:space="preserve"> </w:t>
      </w:r>
      <w:r>
        <w:rPr>
          <w:b/>
        </w:rPr>
        <w:t xml:space="preserve">Erina-Green Point</w:t>
      </w:r>
      <w:r>
        <w:t xml:space="preserve"> </w:t>
      </w:r>
      <w:r>
        <w:t xml:space="preserve">records a median house price of</w:t>
      </w:r>
      <w:r>
        <w:t xml:space="preserve"> </w:t>
      </w:r>
      <w:r>
        <w:rPr>
          <w:b/>
        </w:rPr>
        <w:t xml:space="preserve">$1,947,000</w:t>
      </w:r>
      <w:r>
        <w:t xml:space="preserve"> </w:t>
      </w:r>
      <w:r>
        <w:t xml:space="preserve">(units: $2,639,000),</w:t>
      </w:r>
      <w:r>
        <w:t xml:space="preserve"> </w:t>
      </w:r>
      <w:r>
        <w:rPr>
          <w:b/>
        </w:rPr>
        <w:t xml:space="preserve">Wamberal-Forresters Beach</w:t>
      </w:r>
      <w:r>
        <w:t xml:space="preserve"> </w:t>
      </w:r>
      <w:r>
        <w:t xml:space="preserve">reaches</w:t>
      </w:r>
      <w:r>
        <w:t xml:space="preserve"> </w:t>
      </w:r>
      <w:r>
        <w:rPr>
          <w:b/>
        </w:rPr>
        <w:t xml:space="preserve">$1,746,250</w:t>
      </w:r>
      <w:r>
        <w:t xml:space="preserve"> </w:t>
      </w:r>
      <w:r>
        <w:t xml:space="preserve">(units: $1,260,000), and</w:t>
      </w:r>
      <w:r>
        <w:t xml:space="preserve"> </w:t>
      </w:r>
      <w:r>
        <w:rPr>
          <w:b/>
        </w:rPr>
        <w:t xml:space="preserve">Terrigal-North Avoca</w:t>
      </w:r>
      <w:r>
        <w:t xml:space="preserve"> </w:t>
      </w:r>
      <w:r>
        <w:t xml:space="preserve">sits at</w:t>
      </w:r>
      <w:r>
        <w:t xml:space="preserve"> </w:t>
      </w:r>
      <w:r>
        <w:rPr>
          <w:b/>
        </w:rPr>
        <w:t xml:space="preserve">$1,630,000</w:t>
      </w:r>
      <w:r>
        <w:t xml:space="preserve"> </w:t>
      </w:r>
      <w:r>
        <w:t xml:space="preserve">(units: $1,165,000).</w:t>
      </w:r>
    </w:p>
    <w:p>
      <w:pPr>
        <w:pStyle w:val="BodyText"/>
      </w:pPr>
      <w:r>
        <w:t xml:space="preserve">Mid-market areas cluster around $1.0-1.2 million:</w:t>
      </w:r>
      <w:r>
        <w:t xml:space="preserve"> </w:t>
      </w:r>
      <w:r>
        <w:rPr>
          <w:b/>
        </w:rPr>
        <w:t xml:space="preserve">Gosford-Springfield</w:t>
      </w:r>
      <w:r>
        <w:t xml:space="preserve"> </w:t>
      </w:r>
      <w:r>
        <w:t xml:space="preserve">($1,151,250),</w:t>
      </w:r>
      <w:r>
        <w:t xml:space="preserve"> </w:t>
      </w:r>
      <w:r>
        <w:rPr>
          <w:b/>
        </w:rPr>
        <w:t xml:space="preserve">Niagara Park-Lisarow</w:t>
      </w:r>
      <w:r>
        <w:t xml:space="preserve"> </w:t>
      </w:r>
      <w:r>
        <w:t xml:space="preserve">($1,134,625), and</w:t>
      </w:r>
      <w:r>
        <w:t xml:space="preserve"> </w:t>
      </w:r>
      <w:r>
        <w:rPr>
          <w:b/>
        </w:rPr>
        <w:t xml:space="preserve">Chittaway Bay-Tumbi Umbi</w:t>
      </w:r>
      <w:r>
        <w:t xml:space="preserve"> </w:t>
      </w:r>
      <w:r>
        <w:t xml:space="preserve">($1,113,750). Entry-level markets exist in</w:t>
      </w:r>
      <w:r>
        <w:t xml:space="preserve"> </w:t>
      </w:r>
      <w:r>
        <w:rPr>
          <w:b/>
        </w:rPr>
        <w:t xml:space="preserve">Tuggerah-Kangy Angy</w:t>
      </w:r>
      <w:r>
        <w:t xml:space="preserve"> </w:t>
      </w:r>
      <w:r>
        <w:t xml:space="preserve">($820,500 houses) and</w:t>
      </w:r>
      <w:r>
        <w:t xml:space="preserve"> </w:t>
      </w:r>
      <w:r>
        <w:rPr>
          <w:b/>
        </w:rPr>
        <w:t xml:space="preserve">Blue Haven-San Remo</w:t>
      </w:r>
      <w:r>
        <w:t xml:space="preserve"> </w:t>
      </w:r>
      <w:r>
        <w:t xml:space="preserve">($830,000 houses, $565,000 units).</w:t>
      </w:r>
    </w:p>
    <w:p>
      <w:pPr>
        <w:pStyle w:val="BodyText"/>
      </w:pPr>
      <w:r>
        <w:t xml:space="preserve">Weekly rents mirror purchase prices. Premium areas demand</w:t>
      </w:r>
      <w:r>
        <w:t xml:space="preserve"> </w:t>
      </w:r>
      <w:r>
        <w:rPr>
          <w:b/>
        </w:rPr>
        <w:t xml:space="preserve">$850-972</w:t>
      </w:r>
      <w:r>
        <w:t xml:space="preserve"> </w:t>
      </w:r>
      <w:r>
        <w:t xml:space="preserve">weekly for houses (</w:t>
      </w:r>
      <w:r>
        <w:rPr>
          <w:b/>
        </w:rPr>
        <w:t xml:space="preserve">Wamberal-Forresters Beach</w:t>
      </w:r>
      <w:r>
        <w:t xml:space="preserve">: $850,</w:t>
      </w:r>
      <w:r>
        <w:t xml:space="preserve"> </w:t>
      </w:r>
      <w:r>
        <w:rPr>
          <w:b/>
        </w:rPr>
        <w:t xml:space="preserve">Box Head-MacMasters Beach</w:t>
      </w:r>
      <w:r>
        <w:t xml:space="preserve">: $972.57), while affordable options exist in</w:t>
      </w:r>
      <w:r>
        <w:t xml:space="preserve"> </w:t>
      </w:r>
      <w:r>
        <w:rPr>
          <w:b/>
        </w:rPr>
        <w:t xml:space="preserve">Toukley-Norah Head</w:t>
      </w:r>
      <w:r>
        <w:t xml:space="preserve"> </w:t>
      </w:r>
      <w:r>
        <w:t xml:space="preserve">($617.50),</w:t>
      </w:r>
      <w:r>
        <w:t xml:space="preserve"> </w:t>
      </w:r>
      <w:r>
        <w:rPr>
          <w:b/>
        </w:rPr>
        <w:t xml:space="preserve">Blue Haven-San Remo</w:t>
      </w:r>
      <w:r>
        <w:t xml:space="preserve"> </w:t>
      </w:r>
      <w:r>
        <w:t xml:space="preserve">($611.50), and</w:t>
      </w:r>
      <w:r>
        <w:t xml:space="preserve"> </w:t>
      </w:r>
      <w:r>
        <w:rPr>
          <w:b/>
        </w:rPr>
        <w:t xml:space="preserve">Wyong</w:t>
      </w:r>
      <w:r>
        <w:t xml:space="preserve"> </w:t>
      </w:r>
      <w:r>
        <w:t xml:space="preserve">($625).</w:t>
      </w:r>
    </w:p>
    <w:p>
      <w:pPr>
        <w:pStyle w:val="BodyText"/>
      </w:pPr>
      <w:r>
        <w:t xml:space="preserve">Development activity concentrates in growth corridors:</w:t>
      </w:r>
      <w:r>
        <w:t xml:space="preserve"> </w:t>
      </w:r>
      <w:r>
        <w:rPr>
          <w:b/>
        </w:rPr>
        <w:t xml:space="preserve">Warnervale-Wadalba</w:t>
      </w:r>
      <w:r>
        <w:t xml:space="preserve"> </w:t>
      </w:r>
      <w:r>
        <w:t xml:space="preserve">approved 250 dwellings (building value: $104.1M),</w:t>
      </w:r>
      <w:r>
        <w:t xml:space="preserve"> </w:t>
      </w:r>
      <w:r>
        <w:rPr>
          <w:b/>
        </w:rPr>
        <w:t xml:space="preserve">Lake Munmorah-Mannering Park</w:t>
      </w:r>
      <w:r>
        <w:t xml:space="preserve"> </w:t>
      </w:r>
      <w:r>
        <w:t xml:space="preserve">approved 159 ($55.7M), and</w:t>
      </w:r>
      <w:r>
        <w:t xml:space="preserve"> </w:t>
      </w:r>
      <w:r>
        <w:rPr>
          <w:b/>
        </w:rPr>
        <w:t xml:space="preserve">The Entrance</w:t>
      </w:r>
      <w:r>
        <w:t xml:space="preserve"> </w:t>
      </w:r>
      <w:r>
        <w:t xml:space="preserve">approved 152 ($102.2M).</w:t>
      </w:r>
      <w:r>
        <w:t xml:space="preserve"> </w:t>
      </w:r>
      <w:r>
        <w:rPr>
          <w:b/>
        </w:rPr>
        <w:t xml:space="preserve">Summerland Point-Gwandalan</w:t>
      </w:r>
      <w:r>
        <w:t xml:space="preserve"> </w:t>
      </w:r>
      <w:r>
        <w:t xml:space="preserve">approved 104 dwellings ($52.1M).</w:t>
      </w:r>
    </w:p>
    <w:p>
      <w:pPr>
        <w:pStyle w:val="BodyText"/>
      </w:pPr>
      <w:r>
        <w:t xml:space="preserve">Price-to-income ratios reveal affordability stress. In</w:t>
      </w:r>
      <w:r>
        <w:t xml:space="preserve"> </w:t>
      </w:r>
      <w:r>
        <w:rPr>
          <w:b/>
        </w:rPr>
        <w:t xml:space="preserve">Wyong</w:t>
      </w:r>
      <w:r>
        <w:t xml:space="preserve">, the median house costs 17.3 times median annual household income ($903,888 ÷ $54,912), while</w:t>
      </w:r>
      <w:r>
        <w:t xml:space="preserve"> </w:t>
      </w:r>
      <w:r>
        <w:rPr>
          <w:b/>
        </w:rPr>
        <w:t xml:space="preserve">Gorokan-Kanwal-Charmhaven</w:t>
      </w:r>
      <w:r>
        <w:t xml:space="preserve"> </w:t>
      </w:r>
      <w:r>
        <w:t xml:space="preserve">faces 16.9:1 ($879,255 ÷ $54,652). Affluent areas show healthier ratios:</w:t>
      </w:r>
      <w:r>
        <w:t xml:space="preserve"> </w:t>
      </w:r>
      <w:r>
        <w:rPr>
          <w:b/>
        </w:rPr>
        <w:t xml:space="preserve">Avoca Beach-Copacabana</w:t>
      </w:r>
      <w:r>
        <w:t xml:space="preserve"> </w:t>
      </w:r>
      <w:r>
        <w:t xml:space="preserve">at 8.9:1 ($1,637,500 ÷ $97,188) and</w:t>
      </w:r>
      <w:r>
        <w:t xml:space="preserve"> </w:t>
      </w:r>
      <w:r>
        <w:rPr>
          <w:b/>
        </w:rPr>
        <w:t xml:space="preserve">Wamberal-Forresters Beach</w:t>
      </w:r>
      <w:r>
        <w:t xml:space="preserve"> </w:t>
      </w:r>
      <w:r>
        <w:t xml:space="preserve">at 9.5:1.</w:t>
      </w:r>
    </w:p>
    <w:p>
      <w:pPr>
        <w:pStyle w:val="Heading2"/>
      </w:pPr>
      <w:bookmarkStart w:id="25" w:name="socioeconomic-wellbeing"/>
      <w:r>
        <w:t xml:space="preserve">4. Socioeconomic Wellbeing</w:t>
      </w:r>
      <w:bookmarkEnd w:id="25"/>
    </w:p>
    <w:p>
      <w:pPr>
        <w:pStyle w:val="FirstParagraph"/>
      </w:pPr>
      <w:r>
        <w:t xml:space="preserve">SEIFA indices starkly delineate advantage and disadvantage across the Central Coast. The Index of Relative Socio-economic Advantage and Disadvantage ranges from</w:t>
      </w:r>
      <w:r>
        <w:t xml:space="preserve"> </w:t>
      </w:r>
      <w:r>
        <w:rPr>
          <w:b/>
        </w:rPr>
        <w:t xml:space="preserve">1,085.45</w:t>
      </w:r>
      <w:r>
        <w:t xml:space="preserve"> </w:t>
      </w:r>
      <w:r>
        <w:t xml:space="preserve">in</w:t>
      </w:r>
      <w:r>
        <w:t xml:space="preserve"> </w:t>
      </w:r>
      <w:r>
        <w:rPr>
          <w:b/>
        </w:rPr>
        <w:t xml:space="preserve">Terrigal-North Avoca</w:t>
      </w:r>
      <w:r>
        <w:t xml:space="preserve"> </w:t>
      </w:r>
      <w:r>
        <w:t xml:space="preserve">and</w:t>
      </w:r>
      <w:r>
        <w:t xml:space="preserve"> </w:t>
      </w:r>
      <w:r>
        <w:rPr>
          <w:b/>
        </w:rPr>
        <w:t xml:space="preserve">1,084.48</w:t>
      </w:r>
      <w:r>
        <w:t xml:space="preserve"> </w:t>
      </w:r>
      <w:r>
        <w:t xml:space="preserve">in</w:t>
      </w:r>
      <w:r>
        <w:t xml:space="preserve"> </w:t>
      </w:r>
      <w:r>
        <w:rPr>
          <w:b/>
        </w:rPr>
        <w:t xml:space="preserve">Avoca Beach-Copacabana</w:t>
      </w:r>
      <w:r>
        <w:t xml:space="preserve"> </w:t>
      </w:r>
      <w:r>
        <w:t xml:space="preserve">down to</w:t>
      </w:r>
      <w:r>
        <w:t xml:space="preserve"> </w:t>
      </w:r>
      <w:r>
        <w:rPr>
          <w:b/>
        </w:rPr>
        <w:t xml:space="preserve">886.3</w:t>
      </w:r>
      <w:r>
        <w:t xml:space="preserve"> </w:t>
      </w:r>
      <w:r>
        <w:t xml:space="preserve">in</w:t>
      </w:r>
      <w:r>
        <w:t xml:space="preserve"> </w:t>
      </w:r>
      <w:r>
        <w:rPr>
          <w:b/>
        </w:rPr>
        <w:t xml:space="preserve">Blue Haven-San Remo</w:t>
      </w:r>
      <w:r>
        <w:t xml:space="preserve"> </w:t>
      </w:r>
      <w:r>
        <w:t xml:space="preserve">and</w:t>
      </w:r>
      <w:r>
        <w:t xml:space="preserve"> </w:t>
      </w:r>
      <w:r>
        <w:rPr>
          <w:b/>
        </w:rPr>
        <w:t xml:space="preserve">891.37</w:t>
      </w:r>
      <w:r>
        <w:t xml:space="preserve"> </w:t>
      </w:r>
      <w:r>
        <w:t xml:space="preserve">in</w:t>
      </w:r>
      <w:r>
        <w:t xml:space="preserve"> </w:t>
      </w:r>
      <w:r>
        <w:rPr>
          <w:b/>
        </w:rPr>
        <w:t xml:space="preserve">Gorokan-Kanwal-Charmhaven</w:t>
      </w:r>
      <w:r>
        <w:t xml:space="preserve">.</w:t>
      </w:r>
    </w:p>
    <w:p>
      <w:pPr>
        <w:pStyle w:val="BodyText"/>
      </w:pPr>
      <w:r>
        <w:t xml:space="preserve">Education attainment follows similar patterns. Year 12 completion peaks at</w:t>
      </w:r>
      <w:r>
        <w:t xml:space="preserve"> </w:t>
      </w:r>
      <w:r>
        <w:rPr>
          <w:b/>
        </w:rPr>
        <w:t xml:space="preserve">45.48%</w:t>
      </w:r>
      <w:r>
        <w:t xml:space="preserve"> </w:t>
      </w:r>
      <w:r>
        <w:t xml:space="preserve">in</w:t>
      </w:r>
      <w:r>
        <w:t xml:space="preserve"> </w:t>
      </w:r>
      <w:r>
        <w:rPr>
          <w:b/>
        </w:rPr>
        <w:t xml:space="preserve">Terrigal-North Avoca</w:t>
      </w:r>
      <w:r>
        <w:t xml:space="preserve"> </w:t>
      </w:r>
      <w:r>
        <w:t xml:space="preserve">and</w:t>
      </w:r>
      <w:r>
        <w:t xml:space="preserve"> </w:t>
      </w:r>
      <w:r>
        <w:rPr>
          <w:b/>
        </w:rPr>
        <w:t xml:space="preserve">44.53%</w:t>
      </w:r>
      <w:r>
        <w:t xml:space="preserve"> </w:t>
      </w:r>
      <w:r>
        <w:t xml:space="preserve">in</w:t>
      </w:r>
      <w:r>
        <w:t xml:space="preserve"> </w:t>
      </w:r>
      <w:r>
        <w:rPr>
          <w:b/>
        </w:rPr>
        <w:t xml:space="preserve">Avoca Beach-Copacabana</w:t>
      </w:r>
      <w:r>
        <w:t xml:space="preserve">, contrasting with</w:t>
      </w:r>
      <w:r>
        <w:t xml:space="preserve"> </w:t>
      </w:r>
      <w:r>
        <w:rPr>
          <w:b/>
        </w:rPr>
        <w:t xml:space="preserve">22.92%</w:t>
      </w:r>
      <w:r>
        <w:t xml:space="preserve"> </w:t>
      </w:r>
      <w:r>
        <w:t xml:space="preserve">in</w:t>
      </w:r>
      <w:r>
        <w:t xml:space="preserve"> </w:t>
      </w:r>
      <w:r>
        <w:rPr>
          <w:b/>
        </w:rPr>
        <w:t xml:space="preserve">Lake Munmorah-Mannering Park</w:t>
      </w:r>
      <w:r>
        <w:t xml:space="preserve"> </w:t>
      </w:r>
      <w:r>
        <w:t xml:space="preserve">and</w:t>
      </w:r>
      <w:r>
        <w:t xml:space="preserve"> </w:t>
      </w:r>
      <w:r>
        <w:rPr>
          <w:b/>
        </w:rPr>
        <w:t xml:space="preserve">22.99%</w:t>
      </w:r>
      <w:r>
        <w:t xml:space="preserve"> </w:t>
      </w:r>
      <w:r>
        <w:t xml:space="preserve">in</w:t>
      </w:r>
      <w:r>
        <w:t xml:space="preserve"> </w:t>
      </w:r>
      <w:r>
        <w:rPr>
          <w:b/>
        </w:rPr>
        <w:t xml:space="preserve">Blue Haven-San Remo</w:t>
      </w:r>
      <w:r>
        <w:t xml:space="preserve">. Bachelor degree attainment reaches</w:t>
      </w:r>
      <w:r>
        <w:t xml:space="preserve"> </w:t>
      </w:r>
      <w:r>
        <w:rPr>
          <w:b/>
        </w:rPr>
        <w:t xml:space="preserve">15.02%</w:t>
      </w:r>
      <w:r>
        <w:t xml:space="preserve"> </w:t>
      </w:r>
      <w:r>
        <w:t xml:space="preserve">in</w:t>
      </w:r>
      <w:r>
        <w:t xml:space="preserve"> </w:t>
      </w:r>
      <w:r>
        <w:rPr>
          <w:b/>
        </w:rPr>
        <w:t xml:space="preserve">Terrigal-North Avoca</w:t>
      </w:r>
      <w:r>
        <w:t xml:space="preserve"> </w:t>
      </w:r>
      <w:r>
        <w:t xml:space="preserve">and</w:t>
      </w:r>
      <w:r>
        <w:t xml:space="preserve"> </w:t>
      </w:r>
      <w:r>
        <w:rPr>
          <w:b/>
        </w:rPr>
        <w:t xml:space="preserve">14.74%</w:t>
      </w:r>
      <w:r>
        <w:t xml:space="preserve"> </w:t>
      </w:r>
      <w:r>
        <w:t xml:space="preserve">in</w:t>
      </w:r>
      <w:r>
        <w:t xml:space="preserve"> </w:t>
      </w:r>
      <w:r>
        <w:rPr>
          <w:b/>
        </w:rPr>
        <w:t xml:space="preserve">Avoca Beach-Copacabana</w:t>
      </w:r>
      <w:r>
        <w:t xml:space="preserve"> </w:t>
      </w:r>
      <w:r>
        <w:t xml:space="preserve">but falls to</w:t>
      </w:r>
      <w:r>
        <w:t xml:space="preserve"> </w:t>
      </w:r>
      <w:r>
        <w:rPr>
          <w:b/>
        </w:rPr>
        <w:t xml:space="preserve">3.3%</w:t>
      </w:r>
      <w:r>
        <w:t xml:space="preserve"> </w:t>
      </w:r>
      <w:r>
        <w:t xml:space="preserve">in</w:t>
      </w:r>
      <w:r>
        <w:t xml:space="preserve"> </w:t>
      </w:r>
      <w:r>
        <w:rPr>
          <w:b/>
        </w:rPr>
        <w:t xml:space="preserve">Blue Haven-San Remo</w:t>
      </w:r>
      <w:r>
        <w:t xml:space="preserve"> </w:t>
      </w:r>
      <w:r>
        <w:t xml:space="preserve">and</w:t>
      </w:r>
      <w:r>
        <w:t xml:space="preserve"> </w:t>
      </w:r>
      <w:r>
        <w:rPr>
          <w:b/>
        </w:rPr>
        <w:t xml:space="preserve">4.4%</w:t>
      </w:r>
      <w:r>
        <w:t xml:space="preserve"> </w:t>
      </w:r>
      <w:r>
        <w:t xml:space="preserve">in</w:t>
      </w:r>
      <w:r>
        <w:t xml:space="preserve"> </w:t>
      </w:r>
      <w:r>
        <w:rPr>
          <w:b/>
        </w:rPr>
        <w:t xml:space="preserve">Gorokan-Kanwal-Charmhaven</w:t>
      </w:r>
      <w:r>
        <w:t xml:space="preserve">.</w:t>
      </w:r>
    </w:p>
    <w:p>
      <w:pPr>
        <w:pStyle w:val="BodyText"/>
      </w:pPr>
      <w:r>
        <w:t xml:space="preserve">Welfare dependency concentrates in disadvantaged areas.</w:t>
      </w:r>
      <w:r>
        <w:t xml:space="preserve"> </w:t>
      </w:r>
      <w:r>
        <w:rPr>
          <w:b/>
        </w:rPr>
        <w:t xml:space="preserve">Gorokan-Kanwal-Charmhaven</w:t>
      </w:r>
      <w:r>
        <w:t xml:space="preserve"> </w:t>
      </w:r>
      <w:r>
        <w:t xml:space="preserve">has 3,555 Age Pensioners, 6,935 Pension Concession Card holders, 2,595 Commonwealth Rent Assistance recipients, and 1,535 Disability Support Pensioners.</w:t>
      </w:r>
      <w:r>
        <w:t xml:space="preserve"> </w:t>
      </w:r>
      <w:r>
        <w:rPr>
          <w:b/>
        </w:rPr>
        <w:t xml:space="preserve">Wyong</w:t>
      </w:r>
      <w:r>
        <w:t xml:space="preserve"> </w:t>
      </w:r>
      <w:r>
        <w:t xml:space="preserve">shows 1,200 Age Pensioners, 2,755 Pension Concession Card holders, and 770 Disability Support Pensioners from just 9,360 residents.</w:t>
      </w:r>
    </w:p>
    <w:p>
      <w:pPr>
        <w:pStyle w:val="BodyText"/>
      </w:pPr>
      <w:r>
        <w:t xml:space="preserve">Homelessness affects 236 persons in</w:t>
      </w:r>
      <w:r>
        <w:t xml:space="preserve"> </w:t>
      </w:r>
      <w:r>
        <w:rPr>
          <w:b/>
        </w:rPr>
        <w:t xml:space="preserve">Wyong</w:t>
      </w:r>
      <w:r>
        <w:t xml:space="preserve">, 273 in</w:t>
      </w:r>
      <w:r>
        <w:t xml:space="preserve"> </w:t>
      </w:r>
      <w:r>
        <w:rPr>
          <w:b/>
        </w:rPr>
        <w:t xml:space="preserve">The Entrance</w:t>
      </w:r>
      <w:r>
        <w:t xml:space="preserve">, 160 in</w:t>
      </w:r>
      <w:r>
        <w:t xml:space="preserve"> </w:t>
      </w:r>
      <w:r>
        <w:rPr>
          <w:b/>
        </w:rPr>
        <w:t xml:space="preserve">Gosford-Springfield</w:t>
      </w:r>
      <w:r>
        <w:t xml:space="preserve">, and 138 in</w:t>
      </w:r>
      <w:r>
        <w:t xml:space="preserve"> </w:t>
      </w:r>
      <w:r>
        <w:rPr>
          <w:b/>
        </w:rPr>
        <w:t xml:space="preserve">Gorokan-Kanwal-Charmhaven</w:t>
      </w:r>
      <w:r>
        <w:t xml:space="preserve">. These four SA2s account for the majority of the region’s homeless population.</w:t>
      </w:r>
    </w:p>
    <w:p>
      <w:pPr>
        <w:pStyle w:val="Heading2"/>
      </w:pPr>
      <w:bookmarkStart w:id="26" w:name="crime-safety"/>
      <w:r>
        <w:t xml:space="preserve">5. Crime &amp; Safety</w:t>
      </w:r>
      <w:bookmarkEnd w:id="26"/>
    </w:p>
    <w:p>
      <w:pPr>
        <w:pStyle w:val="FirstParagraph"/>
      </w:pPr>
      <w:r>
        <w:t xml:space="preserve">Crime rates vary dramatically across SA2 areas, though some data appears sparse or incomplete for certain localities. Assault rates range from</w:t>
      </w:r>
      <w:r>
        <w:t xml:space="preserve"> </w:t>
      </w:r>
      <w:r>
        <w:rPr>
          <w:b/>
        </w:rPr>
        <w:t xml:space="preserve">0.09 per 1,000</w:t>
      </w:r>
      <w:r>
        <w:t xml:space="preserve"> </w:t>
      </w:r>
      <w:r>
        <w:t xml:space="preserve">in</w:t>
      </w:r>
      <w:r>
        <w:t xml:space="preserve"> </w:t>
      </w:r>
      <w:r>
        <w:rPr>
          <w:b/>
        </w:rPr>
        <w:t xml:space="preserve">Lake Munmorah-Mannering Park</w:t>
      </w:r>
      <w:r>
        <w:t xml:space="preserve"> </w:t>
      </w:r>
      <w:r>
        <w:t xml:space="preserve">and</w:t>
      </w:r>
      <w:r>
        <w:t xml:space="preserve"> </w:t>
      </w:r>
      <w:r>
        <w:rPr>
          <w:b/>
        </w:rPr>
        <w:t xml:space="preserve">0.42 per 1,000</w:t>
      </w:r>
      <w:r>
        <w:t xml:space="preserve"> </w:t>
      </w:r>
      <w:r>
        <w:t xml:space="preserve">in</w:t>
      </w:r>
      <w:r>
        <w:t xml:space="preserve"> </w:t>
      </w:r>
      <w:r>
        <w:rPr>
          <w:b/>
        </w:rPr>
        <w:t xml:space="preserve">Saratoga-Davistown</w:t>
      </w:r>
      <w:r>
        <w:t xml:space="preserve"> </w:t>
      </w:r>
      <w:r>
        <w:t xml:space="preserve">to</w:t>
      </w:r>
      <w:r>
        <w:t xml:space="preserve"> </w:t>
      </w:r>
      <w:r>
        <w:rPr>
          <w:b/>
        </w:rPr>
        <w:t xml:space="preserve">12.36 per 1,000</w:t>
      </w:r>
      <w:r>
        <w:t xml:space="preserve"> </w:t>
      </w:r>
      <w:r>
        <w:t xml:space="preserve">in</w:t>
      </w:r>
      <w:r>
        <w:t xml:space="preserve"> </w:t>
      </w:r>
      <w:r>
        <w:rPr>
          <w:b/>
        </w:rPr>
        <w:t xml:space="preserve">Wyong</w:t>
      </w:r>
      <w:r>
        <w:t xml:space="preserve"> </w:t>
      </w:r>
      <w:r>
        <w:t xml:space="preserve">and</w:t>
      </w:r>
      <w:r>
        <w:t xml:space="preserve"> </w:t>
      </w:r>
      <w:r>
        <w:rPr>
          <w:b/>
        </w:rPr>
        <w:t xml:space="preserve">9.76 per 1,000</w:t>
      </w:r>
      <w:r>
        <w:t xml:space="preserve"> </w:t>
      </w:r>
      <w:r>
        <w:t xml:space="preserve">in</w:t>
      </w:r>
      <w:r>
        <w:t xml:space="preserve"> </w:t>
      </w:r>
      <w:r>
        <w:rPr>
          <w:b/>
        </w:rPr>
        <w:t xml:space="preserve">Gosford-Springfield</w:t>
      </w:r>
      <w:r>
        <w:t xml:space="preserve">.</w:t>
      </w:r>
    </w:p>
    <w:p>
      <w:pPr>
        <w:pStyle w:val="BodyText"/>
      </w:pPr>
      <w:r>
        <w:rPr>
          <w:b/>
        </w:rPr>
        <w:t xml:space="preserve">Crime Rate Comparison (per 1,000 population):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SA2</w:t>
            </w:r>
          </w:p>
        </w:tc>
        <w:tc>
          <w:tcPr>
            <w:tcBorders>
              <w:bottom w:val="single"/>
            </w:tcBorders>
            <w:vAlign w:val="bottom"/>
          </w:tcPr>
          <w:p>
            <w:pPr>
              <w:pStyle w:val="Compact"/>
              <w:jc w:val="left"/>
            </w:pPr>
            <w:r>
              <w:t xml:space="preserve">Assault</w:t>
            </w:r>
          </w:p>
        </w:tc>
        <w:tc>
          <w:tcPr>
            <w:tcBorders>
              <w:bottom w:val="single"/>
            </w:tcBorders>
            <w:vAlign w:val="bottom"/>
          </w:tcPr>
          <w:p>
            <w:pPr>
              <w:pStyle w:val="Compact"/>
              <w:jc w:val="left"/>
            </w:pPr>
            <w:r>
              <w:t xml:space="preserve">Theft</w:t>
            </w:r>
          </w:p>
        </w:tc>
        <w:tc>
          <w:tcPr>
            <w:tcBorders>
              <w:bottom w:val="single"/>
            </w:tcBorders>
            <w:vAlign w:val="bottom"/>
          </w:tcPr>
          <w:p>
            <w:pPr>
              <w:pStyle w:val="Compact"/>
              <w:jc w:val="left"/>
            </w:pPr>
            <w:r>
              <w:t xml:space="preserve">Intimidation</w:t>
            </w:r>
          </w:p>
        </w:tc>
        <w:tc>
          <w:tcPr>
            <w:tcBorders>
              <w:bottom w:val="single"/>
            </w:tcBorders>
            <w:vAlign w:val="bottom"/>
          </w:tcPr>
          <w:p>
            <w:pPr>
              <w:pStyle w:val="Compact"/>
              <w:jc w:val="left"/>
            </w:pPr>
            <w:r>
              <w:t xml:space="preserve">Malicious Damage</w:t>
            </w:r>
          </w:p>
        </w:tc>
        <w:tc>
          <w:tcPr>
            <w:tcBorders>
              <w:bottom w:val="single"/>
            </w:tcBorders>
            <w:vAlign w:val="bottom"/>
          </w:tcPr>
          <w:p>
            <w:pPr>
              <w:pStyle w:val="Compact"/>
              <w:jc w:val="left"/>
            </w:pPr>
            <w:r>
              <w:t xml:space="preserve">Drug Offences</w:t>
            </w:r>
          </w:p>
        </w:tc>
      </w:tr>
      <w:tr>
        <w:tc>
          <w:p>
            <w:pPr>
              <w:pStyle w:val="Compact"/>
              <w:jc w:val="left"/>
            </w:pPr>
            <w:r>
              <w:rPr>
                <w:b/>
              </w:rPr>
              <w:t xml:space="preserve">Wyong</w:t>
            </w:r>
          </w:p>
        </w:tc>
        <w:tc>
          <w:p>
            <w:pPr>
              <w:pStyle w:val="Compact"/>
              <w:jc w:val="left"/>
            </w:pPr>
            <w:r>
              <w:t xml:space="preserve">12.36</w:t>
            </w:r>
          </w:p>
        </w:tc>
        <w:tc>
          <w:p>
            <w:pPr>
              <w:pStyle w:val="Compact"/>
              <w:jc w:val="left"/>
            </w:pPr>
            <w:r>
              <w:t xml:space="preserve">42.12</w:t>
            </w:r>
          </w:p>
        </w:tc>
        <w:tc>
          <w:p>
            <w:pPr>
              <w:pStyle w:val="Compact"/>
              <w:jc w:val="left"/>
            </w:pPr>
            <w:r>
              <w:t xml:space="preserve">23.19</w:t>
            </w:r>
          </w:p>
        </w:tc>
        <w:tc>
          <w:p>
            <w:pPr>
              <w:pStyle w:val="Compact"/>
              <w:jc w:val="left"/>
            </w:pPr>
            <w:r>
              <w:t xml:space="preserve">19.58</w:t>
            </w:r>
          </w:p>
        </w:tc>
        <w:tc>
          <w:p>
            <w:pPr>
              <w:pStyle w:val="Compact"/>
              <w:jc w:val="left"/>
            </w:pPr>
            <w:r>
              <w:t xml:space="preserve">16.41</w:t>
            </w:r>
          </w:p>
        </w:tc>
      </w:tr>
      <w:tr>
        <w:tc>
          <w:p>
            <w:pPr>
              <w:pStyle w:val="Compact"/>
              <w:jc w:val="left"/>
            </w:pPr>
            <w:r>
              <w:rPr>
                <w:b/>
              </w:rPr>
              <w:t xml:space="preserve">Gosford-Springfield</w:t>
            </w:r>
          </w:p>
        </w:tc>
        <w:tc>
          <w:p>
            <w:pPr>
              <w:pStyle w:val="Compact"/>
              <w:jc w:val="left"/>
            </w:pPr>
            <w:r>
              <w:t xml:space="preserve">9.76</w:t>
            </w:r>
          </w:p>
        </w:tc>
        <w:tc>
          <w:p>
            <w:pPr>
              <w:pStyle w:val="Compact"/>
              <w:jc w:val="left"/>
            </w:pPr>
            <w:r>
              <w:t xml:space="preserve">39.66</w:t>
            </w:r>
          </w:p>
        </w:tc>
        <w:tc>
          <w:p>
            <w:pPr>
              <w:pStyle w:val="Compact"/>
              <w:jc w:val="left"/>
            </w:pPr>
            <w:r>
              <w:t xml:space="preserve">10.89</w:t>
            </w:r>
          </w:p>
        </w:tc>
        <w:tc>
          <w:p>
            <w:pPr>
              <w:pStyle w:val="Compact"/>
              <w:jc w:val="left"/>
            </w:pPr>
            <w:r>
              <w:t xml:space="preserve">11.69</w:t>
            </w:r>
          </w:p>
        </w:tc>
        <w:tc>
          <w:p>
            <w:pPr>
              <w:pStyle w:val="Compact"/>
              <w:jc w:val="left"/>
            </w:pPr>
            <w:r>
              <w:t xml:space="preserve">12.87</w:t>
            </w:r>
          </w:p>
        </w:tc>
      </w:tr>
      <w:tr>
        <w:tc>
          <w:p>
            <w:pPr>
              <w:pStyle w:val="Compact"/>
              <w:jc w:val="left"/>
            </w:pPr>
            <w:r>
              <w:rPr>
                <w:b/>
              </w:rPr>
              <w:t xml:space="preserve">Tuggerah-Kangy Angy</w:t>
            </w:r>
          </w:p>
        </w:tc>
        <w:tc>
          <w:p>
            <w:pPr>
              <w:pStyle w:val="Compact"/>
              <w:jc w:val="left"/>
            </w:pPr>
            <w:r>
              <w:t xml:space="preserve">9.38</w:t>
            </w:r>
          </w:p>
        </w:tc>
        <w:tc>
          <w:p>
            <w:pPr>
              <w:pStyle w:val="Compact"/>
              <w:jc w:val="left"/>
            </w:pPr>
            <w:r>
              <w:t xml:space="preserve">83.09</w:t>
            </w:r>
          </w:p>
        </w:tc>
        <w:tc>
          <w:p>
            <w:pPr>
              <w:pStyle w:val="Compact"/>
              <w:jc w:val="left"/>
            </w:pPr>
            <w:r>
              <w:t xml:space="preserve">6.89</w:t>
            </w:r>
          </w:p>
        </w:tc>
        <w:tc>
          <w:p>
            <w:pPr>
              <w:pStyle w:val="Compact"/>
              <w:jc w:val="left"/>
            </w:pPr>
            <w:r>
              <w:t xml:space="preserve">6.51</w:t>
            </w:r>
          </w:p>
        </w:tc>
        <w:tc>
          <w:p>
            <w:pPr>
              <w:pStyle w:val="Compact"/>
              <w:jc w:val="left"/>
            </w:pPr>
            <w:r>
              <w:t xml:space="preserve">6.32</w:t>
            </w:r>
          </w:p>
        </w:tc>
      </w:tr>
      <w:tr>
        <w:tc>
          <w:p>
            <w:pPr>
              <w:pStyle w:val="Compact"/>
              <w:jc w:val="left"/>
            </w:pPr>
            <w:r>
              <w:rPr>
                <w:b/>
              </w:rPr>
              <w:t xml:space="preserve">Gorokan-Kanwal-Charmhaven</w:t>
            </w:r>
          </w:p>
        </w:tc>
        <w:tc>
          <w:p>
            <w:pPr>
              <w:pStyle w:val="Compact"/>
              <w:jc w:val="left"/>
            </w:pPr>
            <w:r>
              <w:t xml:space="preserve">5.82</w:t>
            </w:r>
          </w:p>
        </w:tc>
        <w:tc>
          <w:p>
            <w:pPr>
              <w:pStyle w:val="Compact"/>
              <w:jc w:val="left"/>
            </w:pPr>
            <w:r>
              <w:t xml:space="preserve">20.91</w:t>
            </w:r>
          </w:p>
        </w:tc>
        <w:tc>
          <w:p>
            <w:pPr>
              <w:pStyle w:val="Compact"/>
              <w:jc w:val="left"/>
            </w:pPr>
            <w:r>
              <w:t xml:space="preserve">12.00</w:t>
            </w:r>
          </w:p>
        </w:tc>
        <w:tc>
          <w:p>
            <w:pPr>
              <w:pStyle w:val="Compact"/>
              <w:jc w:val="left"/>
            </w:pPr>
            <w:r>
              <w:t xml:space="preserve">8.37</w:t>
            </w:r>
          </w:p>
        </w:tc>
        <w:tc>
          <w:p>
            <w:pPr>
              <w:pStyle w:val="Compact"/>
              <w:jc w:val="left"/>
            </w:pPr>
            <w:r>
              <w:t xml:space="preserve">3.54</w:t>
            </w:r>
          </w:p>
        </w:tc>
      </w:tr>
      <w:tr>
        <w:tc>
          <w:p>
            <w:pPr>
              <w:pStyle w:val="Compact"/>
              <w:jc w:val="left"/>
            </w:pPr>
            <w:r>
              <w:rPr>
                <w:b/>
              </w:rPr>
              <w:t xml:space="preserve">Avoca Beach-Copacabana</w:t>
            </w:r>
          </w:p>
        </w:tc>
        <w:tc>
          <w:p>
            <w:pPr>
              <w:pStyle w:val="Compact"/>
              <w:jc w:val="left"/>
            </w:pPr>
            <w:r>
              <w:t xml:space="preserve">1.06</w:t>
            </w:r>
          </w:p>
        </w:tc>
        <w:tc>
          <w:p>
            <w:pPr>
              <w:pStyle w:val="Compact"/>
              <w:jc w:val="left"/>
            </w:pPr>
            <w:r>
              <w:t xml:space="preserve">14.74</w:t>
            </w:r>
          </w:p>
        </w:tc>
        <w:tc>
          <w:p>
            <w:pPr>
              <w:pStyle w:val="Compact"/>
              <w:jc w:val="left"/>
            </w:pPr>
            <w:r>
              <w:t xml:space="preserve">2.66</w:t>
            </w:r>
          </w:p>
        </w:tc>
        <w:tc>
          <w:p>
            <w:pPr>
              <w:pStyle w:val="Compact"/>
              <w:jc w:val="left"/>
            </w:pPr>
            <w:r>
              <w:t xml:space="preserve">4.12</w:t>
            </w:r>
          </w:p>
        </w:tc>
        <w:tc>
          <w:p>
            <w:pPr>
              <w:pStyle w:val="Compact"/>
              <w:jc w:val="left"/>
            </w:pPr>
            <w:r>
              <w:t xml:space="preserve">0.27</w:t>
            </w:r>
          </w:p>
        </w:tc>
      </w:tr>
      <w:tr>
        <w:tc>
          <w:p>
            <w:pPr>
              <w:pStyle w:val="Compact"/>
              <w:jc w:val="left"/>
            </w:pPr>
            <w:r>
              <w:rPr>
                <w:b/>
              </w:rPr>
              <w:t xml:space="preserve">Wamberal-Forresters Beach</w:t>
            </w:r>
          </w:p>
        </w:tc>
        <w:tc>
          <w:p>
            <w:pPr>
              <w:pStyle w:val="Compact"/>
              <w:jc w:val="left"/>
            </w:pPr>
            <w:r>
              <w:t xml:space="preserve">0.94</w:t>
            </w:r>
          </w:p>
        </w:tc>
        <w:tc>
          <w:p>
            <w:pPr>
              <w:pStyle w:val="Compact"/>
              <w:jc w:val="left"/>
            </w:pPr>
            <w:r>
              <w:t xml:space="preserve">11.43</w:t>
            </w:r>
          </w:p>
        </w:tc>
        <w:tc>
          <w:p>
            <w:pPr>
              <w:pStyle w:val="Compact"/>
              <w:jc w:val="left"/>
            </w:pPr>
            <w:r>
              <w:t xml:space="preserve">3.75</w:t>
            </w:r>
          </w:p>
        </w:tc>
        <w:tc>
          <w:p>
            <w:pPr>
              <w:pStyle w:val="Compact"/>
              <w:jc w:val="left"/>
            </w:pPr>
            <w:r>
              <w:t xml:space="preserve">3.37</w:t>
            </w:r>
          </w:p>
        </w:tc>
        <w:tc>
          <w:p>
            <w:pPr>
              <w:pStyle w:val="Compact"/>
              <w:jc w:val="left"/>
            </w:pPr>
            <w:r>
              <w:t xml:space="preserve">1.22</w:t>
            </w:r>
          </w:p>
        </w:tc>
      </w:tr>
    </w:tbl>
    <w:p>
      <w:pPr>
        <w:pStyle w:val="BodyText"/>
      </w:pPr>
      <w:r>
        <w:t xml:space="preserve">Theft peaks extraordinarily in</w:t>
      </w:r>
      <w:r>
        <w:t xml:space="preserve"> </w:t>
      </w:r>
      <w:r>
        <w:rPr>
          <w:b/>
        </w:rPr>
        <w:t xml:space="preserve">Tuggerah-Kangy Angy</w:t>
      </w:r>
      <w:r>
        <w:t xml:space="preserve"> </w:t>
      </w:r>
      <w:r>
        <w:t xml:space="preserve">(83.09 per 1,000), likely reflecting commercial concentration and retail crime.</w:t>
      </w:r>
      <w:r>
        <w:t xml:space="preserve"> </w:t>
      </w:r>
      <w:r>
        <w:rPr>
          <w:b/>
        </w:rPr>
        <w:t xml:space="preserve">Wyong</w:t>
      </w:r>
      <w:r>
        <w:t xml:space="preserve"> </w:t>
      </w:r>
      <w:r>
        <w:t xml:space="preserve">(42.12) and</w:t>
      </w:r>
      <w:r>
        <w:t xml:space="preserve"> </w:t>
      </w:r>
      <w:r>
        <w:rPr>
          <w:b/>
        </w:rPr>
        <w:t xml:space="preserve">Gosford-Springfield</w:t>
      </w:r>
      <w:r>
        <w:t xml:space="preserve"> </w:t>
      </w:r>
      <w:r>
        <w:t xml:space="preserve">(39.66) also show elevated theft rates.</w:t>
      </w:r>
    </w:p>
    <w:p>
      <w:pPr>
        <w:pStyle w:val="BodyText"/>
      </w:pPr>
      <w:r>
        <w:t xml:space="preserve">Drug offences concentrate in</w:t>
      </w:r>
      <w:r>
        <w:t xml:space="preserve"> </w:t>
      </w:r>
      <w:r>
        <w:rPr>
          <w:b/>
        </w:rPr>
        <w:t xml:space="preserve">Wyong</w:t>
      </w:r>
      <w:r>
        <w:t xml:space="preserve"> </w:t>
      </w:r>
      <w:r>
        <w:t xml:space="preserve">(16.41) and</w:t>
      </w:r>
      <w:r>
        <w:t xml:space="preserve"> </w:t>
      </w:r>
      <w:r>
        <w:rPr>
          <w:b/>
        </w:rPr>
        <w:t xml:space="preserve">Gosford-Springfield</w:t>
      </w:r>
      <w:r>
        <w:t xml:space="preserve"> </w:t>
      </w:r>
      <w:r>
        <w:t xml:space="preserve">(12.87), correlating with socioeconomic disadvantage indicators. Affluent coastal suburbs show minimal drug offences:</w:t>
      </w:r>
      <w:r>
        <w:t xml:space="preserve"> </w:t>
      </w:r>
      <w:r>
        <w:rPr>
          <w:b/>
        </w:rPr>
        <w:t xml:space="preserve">Avoca Beach-Copacabana</w:t>
      </w:r>
      <w:r>
        <w:t xml:space="preserve"> </w:t>
      </w:r>
      <w:r>
        <w:t xml:space="preserve">(0.27),</w:t>
      </w:r>
      <w:r>
        <w:t xml:space="preserve"> </w:t>
      </w:r>
      <w:r>
        <w:rPr>
          <w:b/>
        </w:rPr>
        <w:t xml:space="preserve">Saratoga-Davistown</w:t>
      </w:r>
      <w:r>
        <w:t xml:space="preserve"> </w:t>
      </w:r>
      <w:r>
        <w:t xml:space="preserve">(0.14).</w:t>
      </w:r>
    </w:p>
    <w:p>
      <w:pPr>
        <w:pStyle w:val="BodyText"/>
      </w:pPr>
      <w:r>
        <w:rPr>
          <w:b/>
        </w:rPr>
        <w:t xml:space="preserve">Lake Munmorah-Mannering Park</w:t>
      </w:r>
      <w:r>
        <w:t xml:space="preserve"> </w:t>
      </w:r>
      <w:r>
        <w:t xml:space="preserve">reports exceptionally low crime across all categories (assault: 0.09, theft: 1.28, intimidation: 0.09, damage: 0.09, drugs: 0.46), though data sparsity may be a factor.</w:t>
      </w:r>
    </w:p>
    <w:p>
      <w:pPr>
        <w:pStyle w:val="Heading2"/>
      </w:pPr>
      <w:bookmarkStart w:id="27" w:name="tourism-visitor-economy"/>
      <w:r>
        <w:t xml:space="preserve">6. Tourism &amp; Visitor Economy</w:t>
      </w:r>
      <w:bookmarkEnd w:id="27"/>
    </w:p>
    <w:p>
      <w:pPr>
        <w:pStyle w:val="FirstParagraph"/>
      </w:pPr>
      <w:r>
        <w:t xml:space="preserve">Tourism infrastructure and visitor spending concentrate in specific nodes.</w:t>
      </w:r>
      <w:r>
        <w:t xml:space="preserve"> </w:t>
      </w:r>
      <w:r>
        <w:rPr>
          <w:b/>
        </w:rPr>
        <w:t xml:space="preserve">Gosford-Springfield</w:t>
      </w:r>
      <w:r>
        <w:t xml:space="preserve"> </w:t>
      </w:r>
      <w:r>
        <w:t xml:space="preserve">dominates with</w:t>
      </w:r>
      <w:r>
        <w:t xml:space="preserve"> </w:t>
      </w:r>
      <w:r>
        <w:rPr>
          <w:b/>
        </w:rPr>
        <w:t xml:space="preserve">$46,507,000</w:t>
      </w:r>
      <w:r>
        <w:t xml:space="preserve"> </w:t>
      </w:r>
      <w:r>
        <w:t xml:space="preserve">total spend, reflecting its role as the regional hub with 120 tourism businesses.</w:t>
      </w:r>
      <w:r>
        <w:t xml:space="preserve"> </w:t>
      </w:r>
      <w:r>
        <w:rPr>
          <w:b/>
        </w:rPr>
        <w:t xml:space="preserve">Erina-Green Point</w:t>
      </w:r>
      <w:r>
        <w:t xml:space="preserve"> </w:t>
      </w:r>
      <w:r>
        <w:t xml:space="preserve">attracts</w:t>
      </w:r>
      <w:r>
        <w:t xml:space="preserve"> </w:t>
      </w:r>
      <w:r>
        <w:rPr>
          <w:b/>
        </w:rPr>
        <w:t xml:space="preserve">$68,963,000</w:t>
      </w:r>
      <w:r>
        <w:t xml:space="preserve"> </w:t>
      </w:r>
      <w:r>
        <w:t xml:space="preserve">spend (85 tourism businesses), while</w:t>
      </w:r>
      <w:r>
        <w:t xml:space="preserve"> </w:t>
      </w:r>
      <w:r>
        <w:rPr>
          <w:b/>
        </w:rPr>
        <w:t xml:space="preserve">Gorokan-Kanwal-Charmhaven</w:t>
      </w:r>
      <w:r>
        <w:t xml:space="preserve"> </w:t>
      </w:r>
      <w:r>
        <w:t xml:space="preserve">generates</w:t>
      </w:r>
      <w:r>
        <w:t xml:space="preserve"> </w:t>
      </w:r>
      <w:r>
        <w:rPr>
          <w:b/>
        </w:rPr>
        <w:t xml:space="preserve">$28,757,000</w:t>
      </w:r>
      <w:r>
        <w:t xml:space="preserve"> </w:t>
      </w:r>
      <w:r>
        <w:t xml:space="preserve">(46 businesses).</w:t>
      </w:r>
    </w:p>
    <w:p>
      <w:pPr>
        <w:pStyle w:val="BodyText"/>
      </w:pPr>
      <w:r>
        <w:t xml:space="preserve">Coastal tourism hotspots include</w:t>
      </w:r>
      <w:r>
        <w:t xml:space="preserve"> </w:t>
      </w:r>
      <w:r>
        <w:rPr>
          <w:b/>
        </w:rPr>
        <w:t xml:space="preserve">Bateau Bay-Killarney Vale</w:t>
      </w:r>
      <w:r>
        <w:t xml:space="preserve"> </w:t>
      </w:r>
      <w:r>
        <w:t xml:space="preserve">($23,030,000 spend, 46 businesses),</w:t>
      </w:r>
      <w:r>
        <w:t xml:space="preserve"> </w:t>
      </w:r>
      <w:r>
        <w:rPr>
          <w:b/>
        </w:rPr>
        <w:t xml:space="preserve">Umina-Booker Bay-Patonga</w:t>
      </w:r>
      <w:r>
        <w:t xml:space="preserve"> </w:t>
      </w:r>
      <w:r>
        <w:t xml:space="preserve">($18,850,000 spend, 74 businesses), and</w:t>
      </w:r>
      <w:r>
        <w:t xml:space="preserve"> </w:t>
      </w:r>
      <w:r>
        <w:rPr>
          <w:b/>
        </w:rPr>
        <w:t xml:space="preserve">Woy Woy-Blackwall</w:t>
      </w:r>
      <w:r>
        <w:t xml:space="preserve"> </w:t>
      </w:r>
      <w:r>
        <w:t xml:space="preserve">($17,879,000 spend, 50 businesses).</w:t>
      </w:r>
    </w:p>
    <w:p>
      <w:pPr>
        <w:pStyle w:val="BodyText"/>
      </w:pPr>
      <w:r>
        <w:rPr>
          <w:b/>
        </w:rPr>
        <w:t xml:space="preserve">The Entrance</w:t>
      </w:r>
      <w:r>
        <w:t xml:space="preserve"> </w:t>
      </w:r>
      <w:r>
        <w:t xml:space="preserve">hosts</w:t>
      </w:r>
      <w:r>
        <w:t xml:space="preserve"> </w:t>
      </w:r>
      <w:r>
        <w:rPr>
          <w:b/>
        </w:rPr>
        <w:t xml:space="preserve">94 tourism businesses</w:t>
      </w:r>
      <w:r>
        <w:t xml:space="preserve"> </w:t>
      </w:r>
      <w:r>
        <w:t xml:space="preserve">with $13,249,000 total spend, establishing it as a key visitor destination.</w:t>
      </w:r>
      <w:r>
        <w:t xml:space="preserve"> </w:t>
      </w:r>
      <w:r>
        <w:rPr>
          <w:b/>
        </w:rPr>
        <w:t xml:space="preserve">Terrigal-North Avoca</w:t>
      </w:r>
      <w:r>
        <w:t xml:space="preserve"> </w:t>
      </w:r>
      <w:r>
        <w:t xml:space="preserve">supports</w:t>
      </w:r>
      <w:r>
        <w:t xml:space="preserve"> </w:t>
      </w:r>
      <w:r>
        <w:rPr>
          <w:b/>
        </w:rPr>
        <w:t xml:space="preserve">93 tourism businesses</w:t>
      </w:r>
      <w:r>
        <w:t xml:space="preserve"> </w:t>
      </w:r>
      <w:r>
        <w:t xml:space="preserve">with $7,602,000 spend, suggesting a higher-end, lower-volume market.</w:t>
      </w:r>
    </w:p>
    <w:p>
      <w:pPr>
        <w:pStyle w:val="BodyText"/>
      </w:pPr>
      <w:r>
        <w:t xml:space="preserve">Airbnb metrics (measured by listing visits per property) reveal visitor interest patterns.</w:t>
      </w:r>
      <w:r>
        <w:t xml:space="preserve"> </w:t>
      </w:r>
      <w:r>
        <w:rPr>
          <w:b/>
        </w:rPr>
        <w:t xml:space="preserve">Terrigal-North Avoca</w:t>
      </w:r>
      <w:r>
        <w:t xml:space="preserve"> </w:t>
      </w:r>
      <w:r>
        <w:t xml:space="preserve">leads with</w:t>
      </w:r>
      <w:r>
        <w:t xml:space="preserve"> </w:t>
      </w:r>
      <w:r>
        <w:rPr>
          <w:b/>
        </w:rPr>
        <w:t xml:space="preserve">2,348 visits per property</w:t>
      </w:r>
      <w:r>
        <w:t xml:space="preserve">, followed by</w:t>
      </w:r>
      <w:r>
        <w:t xml:space="preserve"> </w:t>
      </w:r>
      <w:r>
        <w:rPr>
          <w:b/>
        </w:rPr>
        <w:t xml:space="preserve">Bateau Bay-Killarney Vale</w:t>
      </w:r>
      <w:r>
        <w:t xml:space="preserve"> </w:t>
      </w:r>
      <w:r>
        <w:t xml:space="preserve">(1,971.67) and</w:t>
      </w:r>
      <w:r>
        <w:t xml:space="preserve"> </w:t>
      </w:r>
      <w:r>
        <w:rPr>
          <w:b/>
        </w:rPr>
        <w:t xml:space="preserve">Tuggerah-Kangy Angy</w:t>
      </w:r>
      <w:r>
        <w:t xml:space="preserve"> </w:t>
      </w:r>
      <w:r>
        <w:t xml:space="preserve">(512, though this appears anomalously low).</w:t>
      </w:r>
      <w:r>
        <w:t xml:space="preserve"> </w:t>
      </w:r>
      <w:r>
        <w:rPr>
          <w:b/>
        </w:rPr>
        <w:t xml:space="preserve">Wyoming</w:t>
      </w:r>
      <w:r>
        <w:t xml:space="preserve"> </w:t>
      </w:r>
      <w:r>
        <w:t xml:space="preserve">shows extremely high visitor interest (1,847),</w:t>
      </w:r>
      <w:r>
        <w:t xml:space="preserve"> </w:t>
      </w:r>
      <w:r>
        <w:rPr>
          <w:b/>
        </w:rPr>
        <w:t xml:space="preserve">Ourimbah-Fountaindale</w:t>
      </w:r>
      <w:r>
        <w:t xml:space="preserve"> </w:t>
      </w:r>
      <w:r>
        <w:t xml:space="preserve">(1,827), and</w:t>
      </w:r>
      <w:r>
        <w:t xml:space="preserve"> </w:t>
      </w:r>
      <w:r>
        <w:rPr>
          <w:b/>
        </w:rPr>
        <w:t xml:space="preserve">Niagara Park-Lisarow</w:t>
      </w:r>
      <w:r>
        <w:t xml:space="preserve"> </w:t>
      </w:r>
      <w:r>
        <w:t xml:space="preserve">(1,508).</w:t>
      </w:r>
    </w:p>
    <w:p>
      <w:pPr>
        <w:pStyle w:val="BodyText"/>
      </w:pPr>
      <w:r>
        <w:t xml:space="preserve">Rural and hinterland areas show modest tourism engagement:</w:t>
      </w:r>
      <w:r>
        <w:t xml:space="preserve"> </w:t>
      </w:r>
      <w:r>
        <w:rPr>
          <w:b/>
        </w:rPr>
        <w:t xml:space="preserve">Jilliby-Yarramalong</w:t>
      </w:r>
      <w:r>
        <w:t xml:space="preserve"> </w:t>
      </w:r>
      <w:r>
        <w:t xml:space="preserve">(9 businesses, $3,166,000 spend),</w:t>
      </w:r>
      <w:r>
        <w:t xml:space="preserve"> </w:t>
      </w:r>
      <w:r>
        <w:rPr>
          <w:b/>
        </w:rPr>
        <w:t xml:space="preserve">Calga-Kulnura</w:t>
      </w:r>
      <w:r>
        <w:t xml:space="preserve"> </w:t>
      </w:r>
      <w:r>
        <w:t xml:space="preserve">(35 businesses, $3,529,000 spend).</w:t>
      </w:r>
    </w:p>
    <w:p>
      <w:pPr>
        <w:pStyle w:val="Heading2"/>
      </w:pPr>
      <w:bookmarkStart w:id="28" w:name="regional-divide-gosford-vs-wyong"/>
      <w:r>
        <w:t xml:space="preserve">7. Regional Divide: Gosford vs Wyong</w:t>
      </w:r>
      <w:bookmarkEnd w:id="28"/>
    </w:p>
    <w:p>
      <w:pPr>
        <w:pStyle w:val="FirstParagraph"/>
      </w:pPr>
      <w:r>
        <w:t xml:space="preserve">The Central Coast’s two SA3 sub-regions—</w:t>
      </w:r>
      <w:r>
        <w:rPr>
          <w:b/>
        </w:rPr>
        <w:t xml:space="preserve">Gosford</w:t>
      </w:r>
      <w:r>
        <w:t xml:space="preserve"> </w:t>
      </w:r>
      <w:r>
        <w:t xml:space="preserve">and</w:t>
      </w:r>
      <w:r>
        <w:t xml:space="preserve"> </w:t>
      </w:r>
      <w:r>
        <w:rPr>
          <w:b/>
        </w:rPr>
        <w:t xml:space="preserve">Wyong</w:t>
      </w:r>
      <w:r>
        <w:t xml:space="preserve">—demonstrate fundamentally different socioeconomic profiles.</w:t>
      </w:r>
    </w:p>
    <w:p>
      <w:pPr>
        <w:pStyle w:val="BodyText"/>
      </w:pPr>
      <w:r>
        <w:rPr>
          <w:b/>
        </w:rPr>
        <w:t xml:space="preserve">Gosford</w:t>
      </w:r>
      <w:r>
        <w:t xml:space="preserve"> </w:t>
      </w:r>
      <w:r>
        <w:t xml:space="preserve">encompasses affluent coastal suburbs (</w:t>
      </w:r>
      <w:r>
        <w:rPr>
          <w:b/>
        </w:rPr>
        <w:t xml:space="preserve">Avoca Beach-Copacabana</w:t>
      </w:r>
      <w:r>
        <w:t xml:space="preserve">,</w:t>
      </w:r>
      <w:r>
        <w:t xml:space="preserve"> </w:t>
      </w:r>
      <w:r>
        <w:rPr>
          <w:b/>
        </w:rPr>
        <w:t xml:space="preserve">Wamberal-Forresters Beach</w:t>
      </w:r>
      <w:r>
        <w:t xml:space="preserve">,</w:t>
      </w:r>
      <w:r>
        <w:t xml:space="preserve"> </w:t>
      </w:r>
      <w:r>
        <w:rPr>
          <w:b/>
        </w:rPr>
        <w:t xml:space="preserve">Terrigal-North Avoca</w:t>
      </w:r>
      <w:r>
        <w:t xml:space="preserve">,</w:t>
      </w:r>
      <w:r>
        <w:t xml:space="preserve"> </w:t>
      </w:r>
      <w:r>
        <w:rPr>
          <w:b/>
        </w:rPr>
        <w:t xml:space="preserve">Erina-Green Point</w:t>
      </w:r>
      <w:r>
        <w:t xml:space="preserve">) alongside the regional centre (</w:t>
      </w:r>
      <w:r>
        <w:rPr>
          <w:b/>
        </w:rPr>
        <w:t xml:space="preserve">Gosford-Springfield</w:t>
      </w:r>
      <w:r>
        <w:t xml:space="preserve">). This sub-region shows:</w:t>
      </w:r>
      <w:r>
        <w:t xml:space="preserve"> </w:t>
      </w:r>
      <w:r>
        <w:t xml:space="preserve">- Lower unemployment (typically 1.2-2.5%)</w:t>
      </w:r>
      <w:r>
        <w:t xml:space="preserve"> </w:t>
      </w:r>
      <w:r>
        <w:t xml:space="preserve">- Higher median household incomes ($1,197-1,869/week)</w:t>
      </w:r>
      <w:r>
        <w:t xml:space="preserve"> </w:t>
      </w:r>
      <w:r>
        <w:t xml:space="preserve">- Superior education outcomes (Year 12: 37-45%, Bachelor: 11-15%)</w:t>
      </w:r>
      <w:r>
        <w:t xml:space="preserve"> </w:t>
      </w:r>
      <w:r>
        <w:t xml:space="preserve">- SEIFA advantage indices above 1,020 in premium areas</w:t>
      </w:r>
      <w:r>
        <w:t xml:space="preserve"> </w:t>
      </w:r>
      <w:r>
        <w:t xml:space="preserve">- House prices $1.1M-1.9M</w:t>
      </w:r>
      <w:r>
        <w:t xml:space="preserve"> </w:t>
      </w:r>
      <w:r>
        <w:t xml:space="preserve">- Lower crime rates</w:t>
      </w:r>
      <w:r>
        <w:t xml:space="preserve"> </w:t>
      </w:r>
      <w:r>
        <w:t xml:space="preserve">- Stronger business density and healthcare infrastructure</w:t>
      </w:r>
    </w:p>
    <w:p>
      <w:pPr>
        <w:pStyle w:val="BodyText"/>
      </w:pPr>
      <w:r>
        <w:rPr>
          <w:b/>
        </w:rPr>
        <w:t xml:space="preserve">Wyong</w:t>
      </w:r>
      <w:r>
        <w:t xml:space="preserve"> </w:t>
      </w:r>
      <w:r>
        <w:t xml:space="preserve">includes both growth areas (</w:t>
      </w:r>
      <w:r>
        <w:rPr>
          <w:b/>
        </w:rPr>
        <w:t xml:space="preserve">Warnervale-Wadalba</w:t>
      </w:r>
      <w:r>
        <w:t xml:space="preserve">,</w:t>
      </w:r>
      <w:r>
        <w:t xml:space="preserve"> </w:t>
      </w:r>
      <w:r>
        <w:rPr>
          <w:b/>
        </w:rPr>
        <w:t xml:space="preserve">The Entrance</w:t>
      </w:r>
      <w:r>
        <w:t xml:space="preserve">) and disadvantaged communities (</w:t>
      </w:r>
      <w:r>
        <w:rPr>
          <w:b/>
        </w:rPr>
        <w:t xml:space="preserve">Wyong</w:t>
      </w:r>
      <w:r>
        <w:t xml:space="preserve">, **Gorokan-Kanwal-Charmhaven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2026-08-14T07:45:05Z</dcterms:created>
  <dcterms:modified xsi:type="dcterms:W3CDTF">2026-08-14T07:45:05Z</dcterms:modified>
</cp:coreProperties>
</file>

<file path=docProps/custom.xml><?xml version="1.0" encoding="utf-8"?>
<Properties xmlns="http://schemas.openxmlformats.org/officeDocument/2006/custom-properties" xmlns:vt="http://schemas.openxmlformats.org/officeDocument/2006/docPropsVTypes"/>
</file>