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entral-coast-sa2-intelligence-report"/>
      <w:r>
        <w:t xml:space="preserve">Central Coast SA2 Intelligence Report</w:t>
      </w:r>
      <w:bookmarkEnd w:id="20"/>
    </w:p>
    <w:p>
      <w:pPr>
        <w:pStyle w:val="FirstParagraph"/>
      </w:pPr>
      <w:r>
        <w:rPr>
          <w:b/>
        </w:rPr>
        <w:t xml:space="preserve">Prepared:</w:t>
      </w:r>
      <w:r>
        <w:t xml:space="preserve"> </w:t>
      </w:r>
      <w:r>
        <w:t xml:space="preserve">June 2026 (refreshed) |</w:t>
      </w:r>
      <w:r>
        <w:t xml:space="preserve"> </w:t>
      </w:r>
      <w:r>
        <w:rPr>
          <w:b/>
        </w:rPr>
        <w:t xml:space="preserve">Indicators:</w:t>
      </w:r>
      <w:r>
        <w:t xml:space="preserve"> </w:t>
      </w:r>
      <w:r>
        <w:t xml:space="preserve">April/May 2026 |</w:t>
      </w:r>
      <w:r>
        <w:t xml:space="preserve"> </w:t>
      </w:r>
      <w:r>
        <w:rPr>
          <w:b/>
        </w:rPr>
        <w:t xml:space="preserve">Data Coverage:</w:t>
      </w:r>
      <w:r>
        <w:t xml:space="preserve"> </w:t>
      </w:r>
      <w:r>
        <w:t xml:space="preserve">30 SA2 areas, Central Coast LGA (NSW)</w:t>
      </w:r>
      <w:r>
        <w:t xml:space="preserve"> </w:t>
      </w:r>
      <w:r>
        <w:rPr>
          <w:b/>
        </w:rPr>
        <w:t xml:space="preserve">Sources:</w:t>
      </w:r>
      <w:r>
        <w:t xml:space="preserve"> </w:t>
      </w:r>
      <w:r>
        <w:t xml:space="preserve">ABS Census, CoreLogic, Airdna, Services Australia, BOCSAR</w:t>
      </w:r>
    </w:p>
    <w:p>
      <w:r>
        <w:pict>
          <v:rect style="width:0;height:1.5pt" o:hralign="center" o:hrstd="t" o:hr="t"/>
        </w:pict>
      </w:r>
    </w:p>
    <w:p>
      <w:pPr>
        <w:pStyle w:val="Heading2"/>
      </w:pPr>
      <w:bookmarkStart w:id="21" w:name="executive-summary"/>
      <w:r>
        <w:t xml:space="preserve">Executive Summary</w:t>
      </w:r>
      <w:bookmarkEnd w:id="21"/>
    </w:p>
    <w:p>
      <w:pPr>
        <w:pStyle w:val="FirstParagraph"/>
      </w:pPr>
      <w:r>
        <w:t xml:space="preserve">The Central Coast LGA encompasses</w:t>
      </w:r>
      <w:r>
        <w:t xml:space="preserve"> </w:t>
      </w:r>
      <w:r>
        <w:rPr>
          <w:b/>
        </w:rPr>
        <w:t xml:space="preserve">354,803 residents</w:t>
      </w:r>
      <w:r>
        <w:t xml:space="preserve"> </w:t>
      </w:r>
      <w:r>
        <w:t xml:space="preserve">across 30 Statistical Area Level 2 (SA2) suburbs, divided into two distinct SA3 sub-regions:</w:t>
      </w:r>
      <w:r>
        <w:t xml:space="preserve"> </w:t>
      </w:r>
      <w:r>
        <w:rPr>
          <w:b/>
        </w:rPr>
        <w:t xml:space="preserve">Gosford</w:t>
      </w:r>
      <w:r>
        <w:t xml:space="preserve"> </w:t>
      </w:r>
      <w:r>
        <w:t xml:space="preserve">(16 areas, 181,658 population) and</w:t>
      </w:r>
      <w:r>
        <w:t xml:space="preserve"> </w:t>
      </w:r>
      <w:r>
        <w:rPr>
          <w:b/>
        </w:rPr>
        <w:t xml:space="preserve">Wyong</w:t>
      </w:r>
      <w:r>
        <w:t xml:space="preserve"> </w:t>
      </w:r>
      <w:r>
        <w:t xml:space="preserve">(14 areas, 173,145 population). This analysis reveals a region defined by stark internal divisions - the southern Gosford corridor commands premium housing, lower unemployment, and higher socioeconomic status, while the northern Wyong corridor experiences entrenched disadvantage, higher welfare dependency, and structural unemployment pockets. The LGA’s rapid population growth (+2,903 in 2023-24), coupled with severe housing affordability constraints and an ageing demographic profile, presents acute planning and service delivery challenges.</w:t>
      </w:r>
    </w:p>
    <w:p>
      <w:pPr>
        <w:pStyle w:val="BodyText"/>
      </w:pPr>
      <w:r>
        <w:rPr>
          <w:b/>
        </w:rPr>
        <w:t xml:space="preserve">Five headline findings:</w:t>
      </w:r>
    </w:p>
    <w:p>
      <w:pPr>
        <w:numPr>
          <w:ilvl w:val="0"/>
          <w:numId w:val="1001"/>
        </w:numPr>
      </w:pPr>
      <w:r>
        <w:rPr>
          <w:b/>
        </w:rPr>
        <w:t xml:space="preserve">A persistent Gosford-Wyong socioeconomic divide</w:t>
      </w:r>
      <w:r>
        <w:t xml:space="preserve">: Gosford SA3 records average house prices 35% higher ($1,348,703 vs $995,895), median incomes 12% higher ($1,443 vs $1,286/wk), and unemployment rates nearly half that of Wyong (2.4% vs 4.2%)</w:t>
      </w:r>
    </w:p>
    <w:p>
      <w:pPr>
        <w:numPr>
          <w:ilvl w:val="0"/>
          <w:numId w:val="1001"/>
        </w:numPr>
      </w:pPr>
      <w:r>
        <w:rPr>
          <w:b/>
        </w:rPr>
        <w:t xml:space="preserve">Critical housing affordability crisis</w:t>
      </w:r>
      <w:r>
        <w:t xml:space="preserve">: With an LGA-wide average house price of $1,191,900 against median weekly household income of $1,370, the price-to-income ratio has risen to</w:t>
      </w:r>
      <w:r>
        <w:t xml:space="preserve"> </w:t>
      </w:r>
      <w:r>
        <w:rPr>
          <w:b/>
        </w:rPr>
        <w:t xml:space="preserve">16.7×</w:t>
      </w:r>
      <w:r>
        <w:t xml:space="preserve"> </w:t>
      </w:r>
      <w:r>
        <w:t xml:space="preserve">- far beyond sustainable thresholds and worsening since last period</w:t>
      </w:r>
    </w:p>
    <w:p>
      <w:pPr>
        <w:numPr>
          <w:ilvl w:val="0"/>
          <w:numId w:val="1001"/>
        </w:numPr>
      </w:pPr>
      <w:r>
        <w:rPr>
          <w:b/>
        </w:rPr>
        <w:t xml:space="preserve">Welfare dependency accelerating - JobSeeker up 11.6%</w:t>
      </w:r>
      <w:r>
        <w:t xml:space="preserve">: JobSeeker recipients have risen to</w:t>
      </w:r>
      <w:r>
        <w:t xml:space="preserve"> </w:t>
      </w:r>
      <w:r>
        <w:rPr>
          <w:b/>
        </w:rPr>
        <w:t xml:space="preserve">12,550</w:t>
      </w:r>
      <w:r>
        <w:t xml:space="preserve"> </w:t>
      </w:r>
      <w:r>
        <w:t xml:space="preserve">(up from 11,240 in the prior period), with Commonwealth Rent Assistance recipients at 27,695 - signalling deepening income stress and housing affordability pressure across the LGA</w:t>
      </w:r>
    </w:p>
    <w:p>
      <w:pPr>
        <w:numPr>
          <w:ilvl w:val="0"/>
          <w:numId w:val="1001"/>
        </w:numPr>
      </w:pPr>
      <w:r>
        <w:rPr>
          <w:b/>
        </w:rPr>
        <w:t xml:space="preserve">Concentrated disadvantage corridor</w:t>
      </w:r>
      <w:r>
        <w:t xml:space="preserve">: The five most disadvantaged suburbs (Wyong, Gorokan-Kanwal-Charmhaven, Blue Haven-San Remo, Toukley-Norah Head, The Entrance) form a contiguous band through northern Wyong with SEIFA scores 55-103 points below the national benchmark</w:t>
      </w:r>
    </w:p>
    <w:p>
      <w:pPr>
        <w:numPr>
          <w:ilvl w:val="0"/>
          <w:numId w:val="1001"/>
        </w:numPr>
      </w:pPr>
      <w:r>
        <w:rPr>
          <w:b/>
        </w:rPr>
        <w:t xml:space="preserve">Short-stay economy expanding</w:t>
      </w:r>
      <w:r>
        <w:t xml:space="preserve">: Total Airbnb gross revenue has risen to</w:t>
      </w:r>
      <w:r>
        <w:t xml:space="preserve"> </w:t>
      </w:r>
      <w:r>
        <w:rPr>
          <w:b/>
        </w:rPr>
        <w:t xml:space="preserve">$3.91M</w:t>
      </w:r>
      <w:r>
        <w:t xml:space="preserve"> </w:t>
      </w:r>
      <w:r>
        <w:t xml:space="preserve">across 1,692 active listings - up 41% - with premium coastal properties increasingly out-competing long-term rental stock</w:t>
      </w:r>
    </w:p>
    <w:p>
      <w:r>
        <w:pict>
          <v:rect style="width:0;height:1.5pt" o:hralign="center" o:hrstd="t" o:hr="t"/>
        </w:pict>
      </w:r>
    </w:p>
    <w:p>
      <w:pPr>
        <w:pStyle w:val="Heading2"/>
      </w:pPr>
      <w:bookmarkStart w:id="22" w:name="X22933ce074bb81ae33abbfc528f5ad89da69780"/>
      <w:r>
        <w:t xml:space="preserve">1. Regional Overview: The Gosford-Wyong Divide</w:t>
      </w:r>
      <w:bookmarkEnd w:id="22"/>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Gosford SA3</w:t>
            </w:r>
          </w:p>
        </w:tc>
        <w:tc>
          <w:tcPr>
            <w:tcBorders>
              <w:bottom w:val="single"/>
            </w:tcBorders>
            <w:vAlign w:val="bottom"/>
          </w:tcPr>
          <w:p>
            <w:pPr>
              <w:pStyle w:val="Compact"/>
              <w:jc w:val="left"/>
            </w:pPr>
            <w:r>
              <w:t xml:space="preserve">Wyong SA3</w:t>
            </w:r>
          </w:p>
        </w:tc>
        <w:tc>
          <w:tcPr>
            <w:tcBorders>
              <w:bottom w:val="single"/>
            </w:tcBorders>
            <w:vAlign w:val="bottom"/>
          </w:tcPr>
          <w:p>
            <w:pPr>
              <w:pStyle w:val="Compact"/>
              <w:jc w:val="left"/>
            </w:pPr>
            <w:r>
              <w:t xml:space="preserve">Gap</w:t>
            </w:r>
          </w:p>
        </w:tc>
      </w:tr>
      <w:tr>
        <w:tc>
          <w:p>
            <w:pPr>
              <w:pStyle w:val="Compact"/>
              <w:jc w:val="left"/>
            </w:pPr>
            <w:r>
              <w:t xml:space="preserve">SA2 Areas</w:t>
            </w:r>
          </w:p>
        </w:tc>
        <w:tc>
          <w:p>
            <w:pPr>
              <w:pStyle w:val="Compact"/>
              <w:jc w:val="left"/>
            </w:pPr>
            <w:r>
              <w:t xml:space="preserve">16</w:t>
            </w:r>
          </w:p>
        </w:tc>
        <w:tc>
          <w:p>
            <w:pPr>
              <w:pStyle w:val="Compact"/>
              <w:jc w:val="left"/>
            </w:pPr>
            <w:r>
              <w:t xml:space="preserve">14</w:t>
            </w:r>
          </w:p>
        </w:tc>
        <w:tc>
          <w:p>
            <w:pPr>
              <w:pStyle w:val="Compact"/>
              <w:jc w:val="left"/>
            </w:pPr>
            <w:r>
              <w:t xml:space="preserve">-</w:t>
            </w:r>
          </w:p>
        </w:tc>
      </w:tr>
      <w:tr>
        <w:tc>
          <w:p>
            <w:pPr>
              <w:pStyle w:val="Compact"/>
              <w:jc w:val="left"/>
            </w:pPr>
            <w:r>
              <w:t xml:space="preserve">Total Population</w:t>
            </w:r>
          </w:p>
        </w:tc>
        <w:tc>
          <w:p>
            <w:pPr>
              <w:pStyle w:val="Compact"/>
              <w:jc w:val="left"/>
            </w:pPr>
            <w:r>
              <w:t xml:space="preserve">181,658</w:t>
            </w:r>
          </w:p>
        </w:tc>
        <w:tc>
          <w:p>
            <w:pPr>
              <w:pStyle w:val="Compact"/>
              <w:jc w:val="left"/>
            </w:pPr>
            <w:r>
              <w:t xml:space="preserve">173,145</w:t>
            </w:r>
          </w:p>
        </w:tc>
        <w:tc>
          <w:p>
            <w:pPr>
              <w:pStyle w:val="Compact"/>
              <w:jc w:val="left"/>
            </w:pPr>
            <w:r>
              <w:t xml:space="preserve">+4.9% Gosford</w:t>
            </w:r>
          </w:p>
        </w:tc>
      </w:tr>
      <w:tr>
        <w:tc>
          <w:p>
            <w:pPr>
              <w:pStyle w:val="Compact"/>
              <w:jc w:val="left"/>
            </w:pPr>
            <w:r>
              <w:t xml:space="preserve">Population Growth (2023-24)</w:t>
            </w:r>
          </w:p>
        </w:tc>
        <w:tc>
          <w:p>
            <w:pPr>
              <w:pStyle w:val="Compact"/>
              <w:jc w:val="left"/>
            </w:pPr>
            <w:r>
              <w:t xml:space="preserve">+1,378</w:t>
            </w:r>
          </w:p>
        </w:tc>
        <w:tc>
          <w:p>
            <w:pPr>
              <w:pStyle w:val="Compact"/>
              <w:jc w:val="left"/>
            </w:pPr>
            <w:r>
              <w:t xml:space="preserve">+1,525</w:t>
            </w:r>
          </w:p>
        </w:tc>
        <w:tc>
          <w:p>
            <w:pPr>
              <w:pStyle w:val="Compact"/>
              <w:jc w:val="left"/>
            </w:pPr>
            <w:r>
              <w:t xml:space="preserve">Wyong growing faster</w:t>
            </w:r>
          </w:p>
        </w:tc>
      </w:tr>
      <w:tr>
        <w:tc>
          <w:p>
            <w:pPr>
              <w:pStyle w:val="Compact"/>
              <w:jc w:val="left"/>
            </w:pPr>
            <w:r>
              <w:t xml:space="preserve">Avg House Price</w:t>
            </w:r>
          </w:p>
        </w:tc>
        <w:tc>
          <w:p>
            <w:pPr>
              <w:pStyle w:val="Compact"/>
              <w:jc w:val="left"/>
            </w:pPr>
            <w:r>
              <w:t xml:space="preserve">$1,348,703</w:t>
            </w:r>
          </w:p>
        </w:tc>
        <w:tc>
          <w:p>
            <w:pPr>
              <w:pStyle w:val="Compact"/>
              <w:jc w:val="left"/>
            </w:pPr>
            <w:r>
              <w:t xml:space="preserve">$995,895</w:t>
            </w:r>
          </w:p>
        </w:tc>
        <w:tc>
          <w:p>
            <w:pPr>
              <w:pStyle w:val="Compact"/>
              <w:jc w:val="left"/>
            </w:pPr>
            <w:r>
              <w:t xml:space="preserve">+35% Gosford</w:t>
            </w:r>
          </w:p>
        </w:tc>
      </w:tr>
      <w:tr>
        <w:tc>
          <w:p>
            <w:pPr>
              <w:pStyle w:val="Compact"/>
              <w:jc w:val="left"/>
            </w:pPr>
            <w:r>
              <w:t xml:space="preserve">Avg Median Weekly Income</w:t>
            </w:r>
          </w:p>
        </w:tc>
        <w:tc>
          <w:p>
            <w:pPr>
              <w:pStyle w:val="Compact"/>
              <w:jc w:val="left"/>
            </w:pPr>
            <w:r>
              <w:t xml:space="preserve">$1,443</w:t>
            </w:r>
          </w:p>
        </w:tc>
        <w:tc>
          <w:p>
            <w:pPr>
              <w:pStyle w:val="Compact"/>
              <w:jc w:val="left"/>
            </w:pPr>
            <w:r>
              <w:t xml:space="preserve">$1,286</w:t>
            </w:r>
          </w:p>
        </w:tc>
        <w:tc>
          <w:p>
            <w:pPr>
              <w:pStyle w:val="Compact"/>
              <w:jc w:val="left"/>
            </w:pPr>
            <w:r>
              <w:t xml:space="preserve">+12% Gosford</w:t>
            </w:r>
          </w:p>
        </w:tc>
      </w:tr>
      <w:tr>
        <w:tc>
          <w:p>
            <w:pPr>
              <w:pStyle w:val="Compact"/>
              <w:jc w:val="left"/>
            </w:pPr>
            <w:r>
              <w:t xml:space="preserve">Avg Unemployment Rate</w:t>
            </w:r>
          </w:p>
        </w:tc>
        <w:tc>
          <w:p>
            <w:pPr>
              <w:pStyle w:val="Compact"/>
              <w:jc w:val="left"/>
            </w:pPr>
            <w:r>
              <w:t xml:space="preserve">2.4%</w:t>
            </w:r>
          </w:p>
        </w:tc>
        <w:tc>
          <w:p>
            <w:pPr>
              <w:pStyle w:val="Compact"/>
              <w:jc w:val="left"/>
            </w:pPr>
            <w:r>
              <w:t xml:space="preserve">4.2%</w:t>
            </w:r>
          </w:p>
        </w:tc>
        <w:tc>
          <w:p>
            <w:pPr>
              <w:pStyle w:val="Compact"/>
              <w:jc w:val="left"/>
            </w:pPr>
            <w:r>
              <w:t xml:space="preserve">1.8pp higher in Wyong</w:t>
            </w:r>
          </w:p>
        </w:tc>
      </w:tr>
      <w:tr>
        <w:tc>
          <w:p>
            <w:pPr>
              <w:pStyle w:val="Compact"/>
              <w:jc w:val="left"/>
            </w:pPr>
            <w:r>
              <w:t xml:space="preserve">Total Businesses</w:t>
            </w:r>
          </w:p>
        </w:tc>
        <w:tc>
          <w:p>
            <w:pPr>
              <w:pStyle w:val="Compact"/>
              <w:jc w:val="left"/>
            </w:pPr>
            <w:r>
              <w:t xml:space="preserve">16,040</w:t>
            </w:r>
          </w:p>
        </w:tc>
        <w:tc>
          <w:p>
            <w:pPr>
              <w:pStyle w:val="Compact"/>
              <w:jc w:val="left"/>
            </w:pPr>
            <w:r>
              <w:t xml:space="preserve">11,087</w:t>
            </w:r>
          </w:p>
        </w:tc>
        <w:tc>
          <w:p>
            <w:pPr>
              <w:pStyle w:val="Compact"/>
              <w:jc w:val="left"/>
            </w:pPr>
            <w:r>
              <w:t xml:space="preserve">+45% Gosford</w:t>
            </w:r>
          </w:p>
        </w:tc>
      </w:tr>
      <w:tr>
        <w:tc>
          <w:p>
            <w:pPr>
              <w:pStyle w:val="Compact"/>
              <w:jc w:val="left"/>
            </w:pPr>
            <w:r>
              <w:t xml:space="preserve">Avg SEIFA Disadvantage Index</w:t>
            </w:r>
          </w:p>
        </w:tc>
        <w:tc>
          <w:p>
            <w:pPr>
              <w:pStyle w:val="Compact"/>
              <w:jc w:val="left"/>
            </w:pPr>
            <w:r>
              <w:t xml:space="preserve">1,028.5</w:t>
            </w:r>
          </w:p>
        </w:tc>
        <w:tc>
          <w:p>
            <w:pPr>
              <w:pStyle w:val="Compact"/>
              <w:jc w:val="left"/>
            </w:pPr>
            <w:r>
              <w:t xml:space="preserve">974.4</w:t>
            </w:r>
          </w:p>
        </w:tc>
        <w:tc>
          <w:p>
            <w:pPr>
              <w:pStyle w:val="Compact"/>
              <w:jc w:val="left"/>
            </w:pPr>
            <w:r>
              <w:t xml:space="preserve">+54pts Gosford</w:t>
            </w:r>
          </w:p>
        </w:tc>
      </w:tr>
      <w:tr>
        <w:tc>
          <w:p>
            <w:pPr>
              <w:pStyle w:val="Compact"/>
              <w:jc w:val="left"/>
            </w:pPr>
            <w:r>
              <w:t xml:space="preserve">Age Pension Recipients</w:t>
            </w:r>
          </w:p>
        </w:tc>
        <w:tc>
          <w:p>
            <w:pPr>
              <w:pStyle w:val="Compact"/>
              <w:jc w:val="left"/>
            </w:pPr>
            <w:r>
              <w:t xml:space="preserve">24,805</w:t>
            </w:r>
          </w:p>
        </w:tc>
        <w:tc>
          <w:p>
            <w:pPr>
              <w:pStyle w:val="Compact"/>
              <w:jc w:val="left"/>
            </w:pPr>
            <w:r>
              <w:t xml:space="preserve">24,555</w:t>
            </w:r>
          </w:p>
        </w:tc>
        <w:tc>
          <w:p>
            <w:pPr>
              <w:pStyle w:val="Compact"/>
              <w:jc w:val="left"/>
            </w:pPr>
            <w:r>
              <w:t xml:space="preserve">Near parity</w:t>
            </w:r>
          </w:p>
        </w:tc>
      </w:tr>
      <w:tr>
        <w:tc>
          <w:p>
            <w:pPr>
              <w:pStyle w:val="Compact"/>
              <w:jc w:val="left"/>
            </w:pPr>
            <w:r>
              <w:t xml:space="preserve">DSP Recipients</w:t>
            </w:r>
          </w:p>
        </w:tc>
        <w:tc>
          <w:p>
            <w:pPr>
              <w:pStyle w:val="Compact"/>
              <w:jc w:val="left"/>
            </w:pPr>
            <w:r>
              <w:t xml:space="preserve">6,160</w:t>
            </w:r>
          </w:p>
        </w:tc>
        <w:tc>
          <w:p>
            <w:pPr>
              <w:pStyle w:val="Compact"/>
              <w:jc w:val="left"/>
            </w:pPr>
            <w:r>
              <w:t xml:space="preserve">8,170</w:t>
            </w:r>
          </w:p>
        </w:tc>
        <w:tc>
          <w:p>
            <w:pPr>
              <w:pStyle w:val="Compact"/>
              <w:jc w:val="left"/>
            </w:pPr>
            <w:r>
              <w:t xml:space="preserve">+33% higher in Wyong</w:t>
            </w:r>
          </w:p>
        </w:tc>
      </w:tr>
      <w:tr>
        <w:tc>
          <w:p>
            <w:pPr>
              <w:pStyle w:val="Compact"/>
              <w:jc w:val="left"/>
            </w:pPr>
            <w:r>
              <w:t xml:space="preserve">JobSeeker Recipients</w:t>
            </w:r>
          </w:p>
        </w:tc>
        <w:tc>
          <w:p>
            <w:pPr>
              <w:pStyle w:val="Compact"/>
              <w:jc w:val="left"/>
            </w:pPr>
            <w:r>
              <w:t xml:space="preserve">5,460</w:t>
            </w:r>
          </w:p>
        </w:tc>
        <w:tc>
          <w:p>
            <w:pPr>
              <w:pStyle w:val="Compact"/>
              <w:jc w:val="left"/>
            </w:pPr>
            <w:r>
              <w:t xml:space="preserve">7,090</w:t>
            </w:r>
          </w:p>
        </w:tc>
        <w:tc>
          <w:p>
            <w:pPr>
              <w:pStyle w:val="Compact"/>
              <w:jc w:val="left"/>
            </w:pPr>
            <w:r>
              <w:t xml:space="preserve">+30% higher in Wyong</w:t>
            </w:r>
          </w:p>
        </w:tc>
      </w:tr>
      <w:tr>
        <w:tc>
          <w:p>
            <w:pPr>
              <w:pStyle w:val="Compact"/>
              <w:jc w:val="left"/>
            </w:pPr>
            <w:r>
              <w:t xml:space="preserve">Homelessness Count</w:t>
            </w:r>
          </w:p>
        </w:tc>
        <w:tc>
          <w:p>
            <w:pPr>
              <w:pStyle w:val="Compact"/>
              <w:jc w:val="left"/>
            </w:pPr>
            <w:r>
              <w:t xml:space="preserve">570</w:t>
            </w:r>
          </w:p>
        </w:tc>
        <w:tc>
          <w:p>
            <w:pPr>
              <w:pStyle w:val="Compact"/>
              <w:jc w:val="left"/>
            </w:pPr>
            <w:r>
              <w:t xml:space="preserve">1,170</w:t>
            </w:r>
          </w:p>
        </w:tc>
        <w:tc>
          <w:p>
            <w:pPr>
              <w:pStyle w:val="Compact"/>
              <w:jc w:val="left"/>
            </w:pPr>
            <w:r>
              <w:t xml:space="preserve">+105% higher in Wyong</w:t>
            </w:r>
          </w:p>
        </w:tc>
      </w:tr>
    </w:tbl>
    <w:p>
      <w:pPr>
        <w:pStyle w:val="BodyText"/>
      </w:pPr>
      <w:r>
        <w:rPr>
          <w:b/>
        </w:rPr>
        <w:t xml:space="preserve">Key insight:</w:t>
      </w:r>
      <w:r>
        <w:t xml:space="preserve"> </w:t>
      </w:r>
      <w:r>
        <w:t xml:space="preserve">Wyong is growing faster in absolute population terms (+1,525 vs +1,378) yet starts from a substantially weaker economic base. The combination of accelerating growth pressure, lower household incomes, fewer employment-generating businesses, and double the homelessness rate creates compounding demand on social infrastructure in the northern corridor. The jump in JobSeeker recipients - 7,090 in Wyong vs 5,460 in Gosford - reflects diverging economic trajectories between the two sub-regions. Wyong carries a disproportionate 57% of all JobSeeker recipients despite holding 49% of population.</w:t>
      </w:r>
    </w:p>
    <w:p>
      <w:r>
        <w:pict>
          <v:rect style="width:0;height:1.5pt" o:hralign="center" o:hrstd="t" o:hr="t"/>
        </w:pict>
      </w:r>
    </w:p>
    <w:p>
      <w:pPr>
        <w:pStyle w:val="Heading2"/>
      </w:pPr>
      <w:bookmarkStart w:id="23" w:name="housing-market-analysis"/>
      <w:r>
        <w:t xml:space="preserve">2. Housing Market Analysis</w:t>
      </w:r>
      <w:bookmarkEnd w:id="23"/>
    </w:p>
    <w:p>
      <w:pPr>
        <w:pStyle w:val="Heading3"/>
      </w:pPr>
      <w:bookmarkStart w:id="24" w:name="price-tiers"/>
      <w:r>
        <w:t xml:space="preserve">2.1 Price Tiers</w:t>
      </w:r>
      <w:bookmarkEnd w:id="24"/>
    </w:p>
    <w:p>
      <w:pPr>
        <w:pStyle w:val="FirstParagraph"/>
      </w:pPr>
      <w:r>
        <w:rPr>
          <w:b/>
        </w:rPr>
        <w:t xml:space="preserve">Premium tier suburbs (house price &gt; $1.5M) - all Gosford SA3:</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House Price</w:t>
            </w:r>
          </w:p>
        </w:tc>
        <w:tc>
          <w:tcPr>
            <w:tcBorders>
              <w:bottom w:val="single"/>
            </w:tcBorders>
            <w:vAlign w:val="bottom"/>
          </w:tcPr>
          <w:p>
            <w:pPr>
              <w:pStyle w:val="Compact"/>
              <w:jc w:val="left"/>
            </w:pPr>
            <w:r>
              <w:t xml:space="preserve">House Rent (P/W)</w:t>
            </w:r>
          </w:p>
        </w:tc>
        <w:tc>
          <w:tcPr>
            <w:tcBorders>
              <w:bottom w:val="single"/>
            </w:tcBorders>
            <w:vAlign w:val="bottom"/>
          </w:tcPr>
          <w:p>
            <w:pPr>
              <w:pStyle w:val="Compact"/>
              <w:jc w:val="left"/>
            </w:pPr>
            <w:r>
              <w:t xml:space="preserve">Change vs Prior</w:t>
            </w:r>
          </w:p>
        </w:tc>
      </w:tr>
      <w:tr>
        <w:tc>
          <w:p>
            <w:pPr>
              <w:pStyle w:val="Compact"/>
              <w:jc w:val="left"/>
            </w:pPr>
            <w:r>
              <w:t xml:space="preserve">Erina - Green Point</w:t>
            </w:r>
          </w:p>
        </w:tc>
        <w:tc>
          <w:p>
            <w:pPr>
              <w:pStyle w:val="Compact"/>
              <w:jc w:val="left"/>
            </w:pPr>
            <w:r>
              <w:t xml:space="preserve">$1,974,000</w:t>
            </w:r>
          </w:p>
        </w:tc>
        <w:tc>
          <w:p>
            <w:pPr>
              <w:pStyle w:val="Compact"/>
              <w:jc w:val="left"/>
            </w:pPr>
            <w:r>
              <w:t xml:space="preserve">$919</w:t>
            </w:r>
          </w:p>
        </w:tc>
        <w:tc>
          <w:p>
            <w:pPr>
              <w:pStyle w:val="Compact"/>
              <w:jc w:val="left"/>
            </w:pPr>
            <w:r>
              <w:t xml:space="preserve">↓ softened from $2.09M</w:t>
            </w:r>
          </w:p>
        </w:tc>
      </w:tr>
      <w:tr>
        <w:tc>
          <w:p>
            <w:pPr>
              <w:pStyle w:val="Compact"/>
              <w:jc w:val="left"/>
            </w:pPr>
            <w:r>
              <w:t xml:space="preserve">Box Head - MacMasters Beach</w:t>
            </w:r>
          </w:p>
        </w:tc>
        <w:tc>
          <w:p>
            <w:pPr>
              <w:pStyle w:val="Compact"/>
              <w:jc w:val="left"/>
            </w:pPr>
            <w:r>
              <w:t xml:space="preserve">$1,680,214</w:t>
            </w:r>
          </w:p>
        </w:tc>
        <w:tc>
          <w:p>
            <w:pPr>
              <w:pStyle w:val="Compact"/>
              <w:jc w:val="left"/>
            </w:pPr>
            <w:r>
              <w:t xml:space="preserve">$1,086</w:t>
            </w:r>
          </w:p>
        </w:tc>
        <w:tc>
          <w:p>
            <w:pPr>
              <w:pStyle w:val="Compact"/>
              <w:jc w:val="left"/>
            </w:pPr>
            <w:r>
              <w:t xml:space="preserve">↑</w:t>
            </w:r>
          </w:p>
        </w:tc>
      </w:tr>
      <w:tr>
        <w:tc>
          <w:p>
            <w:pPr>
              <w:pStyle w:val="Compact"/>
              <w:jc w:val="left"/>
            </w:pPr>
            <w:r>
              <w:t xml:space="preserve">Wamberal - Forresters Beach</w:t>
            </w:r>
          </w:p>
        </w:tc>
        <w:tc>
          <w:p>
            <w:pPr>
              <w:pStyle w:val="Compact"/>
              <w:jc w:val="left"/>
            </w:pPr>
            <w:r>
              <w:t xml:space="preserve">$1,680,000</w:t>
            </w:r>
          </w:p>
        </w:tc>
        <w:tc>
          <w:p>
            <w:pPr>
              <w:pStyle w:val="Compact"/>
              <w:jc w:val="left"/>
            </w:pPr>
            <w:r>
              <w:t xml:space="preserve">$850</w:t>
            </w:r>
          </w:p>
        </w:tc>
        <w:tc>
          <w:p>
            <w:pPr>
              <w:pStyle w:val="Compact"/>
              <w:jc w:val="left"/>
            </w:pPr>
            <w:r>
              <w:t xml:space="preserve">→ stable</w:t>
            </w:r>
          </w:p>
        </w:tc>
      </w:tr>
      <w:tr>
        <w:tc>
          <w:p>
            <w:pPr>
              <w:pStyle w:val="Compact"/>
              <w:jc w:val="left"/>
            </w:pPr>
            <w:r>
              <w:t xml:space="preserve">Avoca Beach - Copacabana</w:t>
            </w:r>
          </w:p>
        </w:tc>
        <w:tc>
          <w:p>
            <w:pPr>
              <w:pStyle w:val="Compact"/>
              <w:jc w:val="left"/>
            </w:pPr>
            <w:r>
              <w:t xml:space="preserve">$1,665,500</w:t>
            </w:r>
          </w:p>
        </w:tc>
        <w:tc>
          <w:p>
            <w:pPr>
              <w:pStyle w:val="Compact"/>
              <w:jc w:val="left"/>
            </w:pPr>
            <w:r>
              <w:t xml:space="preserve">$865</w:t>
            </w:r>
          </w:p>
        </w:tc>
        <w:tc>
          <w:p>
            <w:pPr>
              <w:pStyle w:val="Compact"/>
              <w:jc w:val="left"/>
            </w:pPr>
            <w:r>
              <w:t xml:space="preserve">↓ softened</w:t>
            </w:r>
          </w:p>
        </w:tc>
      </w:tr>
      <w:tr>
        <w:tc>
          <w:p>
            <w:pPr>
              <w:pStyle w:val="Compact"/>
              <w:jc w:val="left"/>
            </w:pPr>
            <w:r>
              <w:t xml:space="preserve">Terrigal - North Avoca</w:t>
            </w:r>
          </w:p>
        </w:tc>
        <w:tc>
          <w:p>
            <w:pPr>
              <w:pStyle w:val="Compact"/>
              <w:jc w:val="left"/>
            </w:pPr>
            <w:r>
              <w:t xml:space="preserve">$1,605,000</w:t>
            </w:r>
          </w:p>
        </w:tc>
        <w:tc>
          <w:p>
            <w:pPr>
              <w:pStyle w:val="Compact"/>
              <w:jc w:val="left"/>
            </w:pPr>
            <w:r>
              <w:t xml:space="preserve">$900</w:t>
            </w:r>
          </w:p>
        </w:tc>
        <w:tc>
          <w:p>
            <w:pPr>
              <w:pStyle w:val="Compact"/>
              <w:jc w:val="left"/>
            </w:pPr>
            <w:r>
              <w:t xml:space="preserve">↓ softened</w:t>
            </w:r>
          </w:p>
        </w:tc>
      </w:tr>
    </w:tbl>
    <w:p>
      <w:pPr>
        <w:pStyle w:val="BodyText"/>
      </w:pPr>
      <w:r>
        <w:rPr>
          <w:b/>
        </w:rPr>
        <w:t xml:space="preserve">Erina - Green Point</w:t>
      </w:r>
      <w:r>
        <w:t xml:space="preserve"> </w:t>
      </w:r>
      <w:r>
        <w:t xml:space="preserve">remains the LGA’s most expensive suburb at $1,974,000 - but has softened by approximately $114,000 since the previous period. All five premium-tier suburbs have seen house prices moderate, suggesting some cooling at the top end. Rental yields remain strong: Box Head - MacMasters Beach commands $1,086/wk - the highest weekly rent in the LGA.</w:t>
      </w:r>
    </w:p>
    <w:p>
      <w:pPr>
        <w:pStyle w:val="BodyText"/>
      </w:pPr>
      <w:r>
        <w:rPr>
          <w:b/>
        </w:rPr>
        <w:t xml:space="preserve">Entry-level suburbs (house price &lt; $900k) - all Wyong SA3:</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House Price</w:t>
            </w:r>
          </w:p>
        </w:tc>
        <w:tc>
          <w:tcPr>
            <w:tcBorders>
              <w:bottom w:val="single"/>
            </w:tcBorders>
            <w:vAlign w:val="bottom"/>
          </w:tcPr>
          <w:p>
            <w:pPr>
              <w:pStyle w:val="Compact"/>
              <w:jc w:val="left"/>
            </w:pPr>
            <w:r>
              <w:t xml:space="preserve">House Rent (P/W)</w:t>
            </w:r>
          </w:p>
        </w:tc>
        <w:tc>
          <w:tcPr>
            <w:tcBorders>
              <w:bottom w:val="single"/>
            </w:tcBorders>
            <w:vAlign w:val="bottom"/>
          </w:tcPr>
          <w:p>
            <w:pPr>
              <w:pStyle w:val="Compact"/>
              <w:jc w:val="left"/>
            </w:pPr>
            <w:r>
              <w:t xml:space="preserve">Region</w:t>
            </w:r>
          </w:p>
        </w:tc>
      </w:tr>
      <w:tr>
        <w:tc>
          <w:p>
            <w:pPr>
              <w:pStyle w:val="Compact"/>
              <w:jc w:val="left"/>
            </w:pPr>
            <w:r>
              <w:t xml:space="preserve">Tuggerah - Kangy Angy</w:t>
            </w:r>
          </w:p>
        </w:tc>
        <w:tc>
          <w:p>
            <w:pPr>
              <w:pStyle w:val="Compact"/>
              <w:jc w:val="left"/>
            </w:pPr>
            <w:r>
              <w:t xml:space="preserve">$800,000</w:t>
            </w:r>
          </w:p>
        </w:tc>
        <w:tc>
          <w:p>
            <w:pPr>
              <w:pStyle w:val="Compact"/>
              <w:jc w:val="left"/>
            </w:pPr>
            <w:r>
              <w:t xml:space="preserve">$650</w:t>
            </w:r>
          </w:p>
        </w:tc>
        <w:tc>
          <w:p>
            <w:pPr>
              <w:pStyle w:val="Compact"/>
              <w:jc w:val="left"/>
            </w:pPr>
            <w:r>
              <w:t xml:space="preserve">Wyong</w:t>
            </w:r>
          </w:p>
        </w:tc>
      </w:tr>
      <w:tr>
        <w:tc>
          <w:p>
            <w:pPr>
              <w:pStyle w:val="Compact"/>
              <w:jc w:val="left"/>
            </w:pPr>
            <w:r>
              <w:t xml:space="preserve">Blue Haven - San Remo</w:t>
            </w:r>
          </w:p>
        </w:tc>
        <w:tc>
          <w:p>
            <w:pPr>
              <w:pStyle w:val="Compact"/>
              <w:jc w:val="left"/>
            </w:pPr>
            <w:r>
              <w:t xml:space="preserve">$828,250</w:t>
            </w:r>
          </w:p>
        </w:tc>
        <w:tc>
          <w:p>
            <w:pPr>
              <w:pStyle w:val="Compact"/>
              <w:jc w:val="left"/>
            </w:pPr>
            <w:r>
              <w:t xml:space="preserve">$605</w:t>
            </w:r>
          </w:p>
        </w:tc>
        <w:tc>
          <w:p>
            <w:pPr>
              <w:pStyle w:val="Compact"/>
              <w:jc w:val="left"/>
            </w:pPr>
            <w:r>
              <w:t xml:space="preserve">Wyong</w:t>
            </w:r>
          </w:p>
        </w:tc>
      </w:tr>
      <w:tr>
        <w:tc>
          <w:p>
            <w:pPr>
              <w:pStyle w:val="Compact"/>
              <w:jc w:val="left"/>
            </w:pPr>
            <w:r>
              <w:t xml:space="preserve">Budgewoi - Buff Point - Halekulani</w:t>
            </w:r>
          </w:p>
        </w:tc>
        <w:tc>
          <w:p>
            <w:pPr>
              <w:pStyle w:val="Compact"/>
              <w:jc w:val="left"/>
            </w:pPr>
            <w:r>
              <w:t xml:space="preserve">$846,250</w:t>
            </w:r>
          </w:p>
        </w:tc>
        <w:tc>
          <w:p>
            <w:pPr>
              <w:pStyle w:val="Compact"/>
              <w:jc w:val="left"/>
            </w:pPr>
            <w:r>
              <w:t xml:space="preserve">$603</w:t>
            </w:r>
          </w:p>
        </w:tc>
        <w:tc>
          <w:p>
            <w:pPr>
              <w:pStyle w:val="Compact"/>
              <w:jc w:val="left"/>
            </w:pPr>
            <w:r>
              <w:t xml:space="preserve">Wyong</w:t>
            </w:r>
          </w:p>
        </w:tc>
      </w:tr>
      <w:tr>
        <w:tc>
          <w:p>
            <w:pPr>
              <w:pStyle w:val="Compact"/>
              <w:jc w:val="left"/>
            </w:pPr>
            <w:r>
              <w:t xml:space="preserve">Gorokan - Kanwal - Charmhaven</w:t>
            </w:r>
          </w:p>
        </w:tc>
        <w:tc>
          <w:p>
            <w:pPr>
              <w:pStyle w:val="Compact"/>
              <w:jc w:val="left"/>
            </w:pPr>
            <w:r>
              <w:t xml:space="preserve">$859,133</w:t>
            </w:r>
          </w:p>
        </w:tc>
        <w:tc>
          <w:p>
            <w:pPr>
              <w:pStyle w:val="Compact"/>
              <w:jc w:val="left"/>
            </w:pPr>
            <w:r>
              <w:t xml:space="preserve">$606</w:t>
            </w:r>
          </w:p>
        </w:tc>
        <w:tc>
          <w:p>
            <w:pPr>
              <w:pStyle w:val="Compact"/>
              <w:jc w:val="left"/>
            </w:pPr>
            <w:r>
              <w:t xml:space="preserve">Wyong</w:t>
            </w:r>
          </w:p>
        </w:tc>
      </w:tr>
      <w:tr>
        <w:tc>
          <w:p>
            <w:pPr>
              <w:pStyle w:val="Compact"/>
              <w:jc w:val="left"/>
            </w:pPr>
            <w:r>
              <w:t xml:space="preserve">Wyong</w:t>
            </w:r>
          </w:p>
        </w:tc>
        <w:tc>
          <w:p>
            <w:pPr>
              <w:pStyle w:val="Compact"/>
              <w:jc w:val="left"/>
            </w:pPr>
            <w:r>
              <w:t xml:space="preserve">$875,500</w:t>
            </w:r>
          </w:p>
        </w:tc>
        <w:tc>
          <w:p>
            <w:pPr>
              <w:pStyle w:val="Compact"/>
              <w:jc w:val="left"/>
            </w:pPr>
            <w:r>
              <w:t xml:space="preserve">$630</w:t>
            </w:r>
          </w:p>
        </w:tc>
        <w:tc>
          <w:p>
            <w:pPr>
              <w:pStyle w:val="Compact"/>
              <w:jc w:val="left"/>
            </w:pPr>
            <w:r>
              <w:t xml:space="preserve">Wyong</w:t>
            </w:r>
          </w:p>
        </w:tc>
      </w:tr>
    </w:tbl>
    <w:p>
      <w:pPr>
        <w:pStyle w:val="BodyText"/>
      </w:pPr>
      <w:r>
        <w:t xml:space="preserve">The price differential between the LGA’s most expensive suburb (Erina - Green Point, $1,974,000) and its most affordable (Tuggerah - Kangy Angy, $800,000) is</w:t>
      </w:r>
      <w:r>
        <w:t xml:space="preserve"> </w:t>
      </w:r>
      <w:r>
        <w:rPr>
          <w:b/>
        </w:rPr>
        <w:t xml:space="preserve">$1.174M</w:t>
      </w:r>
      <w:r>
        <w:t xml:space="preserve"> </w:t>
      </w:r>
      <w:r>
        <w:t xml:space="preserve">- a 2.5× multiplier within a single local government area. This represents two fundamentally different housing markets operating under one council jurisdiction, requiring differentiated planning approaches. Entry-level prices have continued to creep upward across all northern Wyong suburbs, compressing affordability even at the bottom of the market.</w:t>
      </w:r>
    </w:p>
    <w:p>
      <w:pPr>
        <w:pStyle w:val="Heading3"/>
      </w:pPr>
      <w:bookmarkStart w:id="25" w:name="rental-market"/>
      <w:r>
        <w:t xml:space="preserve">2.2 Rental Market</w:t>
      </w:r>
      <w:bookmarkEnd w:id="25"/>
    </w:p>
    <w:p>
      <w:pPr>
        <w:pStyle w:val="FirstParagraph"/>
      </w:pPr>
      <w:r>
        <w:t xml:space="preserve">Weekly house rents range from</w:t>
      </w:r>
      <w:r>
        <w:t xml:space="preserve"> </w:t>
      </w:r>
      <w:r>
        <w:rPr>
          <w:b/>
        </w:rPr>
        <w:t xml:space="preserve">$588/wk</w:t>
      </w:r>
      <w:r>
        <w:t xml:space="preserve"> </w:t>
      </w:r>
      <w:r>
        <w:t xml:space="preserve">(Toukley - Norah Head) to</w:t>
      </w:r>
      <w:r>
        <w:t xml:space="preserve"> </w:t>
      </w:r>
      <w:r>
        <w:rPr>
          <w:b/>
        </w:rPr>
        <w:t xml:space="preserve">$1,086/wk</w:t>
      </w:r>
      <w:r>
        <w:t xml:space="preserve"> </w:t>
      </w:r>
      <w:r>
        <w:t xml:space="preserve">(Box Head - MacMasters Beach), with the LGA-wide average at approximately</w:t>
      </w:r>
      <w:r>
        <w:t xml:space="preserve"> </w:t>
      </w:r>
      <w:r>
        <w:rPr>
          <w:b/>
        </w:rPr>
        <w:t xml:space="preserve">$729/wk</w:t>
      </w:r>
      <w:r>
        <w:t xml:space="preserve"> </w:t>
      </w:r>
      <w:r>
        <w:t xml:space="preserve">(suburbs with data). The average has risen from the prior period’s $709/wk.</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Rent Band</w:t>
            </w:r>
          </w:p>
        </w:tc>
        <w:tc>
          <w:tcPr>
            <w:tcBorders>
              <w:bottom w:val="single"/>
            </w:tcBorders>
            <w:vAlign w:val="bottom"/>
          </w:tcPr>
          <w:p>
            <w:pPr>
              <w:pStyle w:val="Compact"/>
              <w:jc w:val="left"/>
            </w:pPr>
            <w:r>
              <w:t xml:space="preserve">Representative Suburbs</w:t>
            </w:r>
          </w:p>
        </w:tc>
        <w:tc>
          <w:tcPr>
            <w:tcBorders>
              <w:bottom w:val="single"/>
            </w:tcBorders>
            <w:vAlign w:val="bottom"/>
          </w:tcPr>
          <w:p>
            <w:pPr>
              <w:pStyle w:val="Compact"/>
              <w:jc w:val="left"/>
            </w:pPr>
            <w:r>
              <w:t xml:space="preserve">Weekly Rent Range</w:t>
            </w:r>
          </w:p>
        </w:tc>
      </w:tr>
      <w:tr>
        <w:tc>
          <w:p>
            <w:pPr>
              <w:pStyle w:val="Compact"/>
              <w:jc w:val="left"/>
            </w:pPr>
            <w:r>
              <w:t xml:space="preserve">Premium (&gt;$850)</w:t>
            </w:r>
          </w:p>
        </w:tc>
        <w:tc>
          <w:p>
            <w:pPr>
              <w:pStyle w:val="Compact"/>
              <w:jc w:val="left"/>
            </w:pPr>
            <w:r>
              <w:t xml:space="preserve">Box Head-MacMasters Beach, Erina-Green Point, Avoca Beach-Copacabana, Terrigal-North Avoca</w:t>
            </w:r>
          </w:p>
        </w:tc>
        <w:tc>
          <w:p>
            <w:pPr>
              <w:pStyle w:val="Compact"/>
              <w:jc w:val="left"/>
            </w:pPr>
            <w:r>
              <w:t xml:space="preserve">$865-$1,086</w:t>
            </w:r>
          </w:p>
        </w:tc>
      </w:tr>
      <w:tr>
        <w:tc>
          <w:p>
            <w:pPr>
              <w:pStyle w:val="Compact"/>
              <w:jc w:val="left"/>
            </w:pPr>
            <w:r>
              <w:t xml:space="preserve">Mid-market ($700-$850)</w:t>
            </w:r>
          </w:p>
        </w:tc>
        <w:tc>
          <w:p>
            <w:pPr>
              <w:pStyle w:val="Compact"/>
              <w:jc w:val="left"/>
            </w:pPr>
            <w:r>
              <w:t xml:space="preserve">Kariong, Warnervale-Wadalba, Niagara Park-Lisarow, Saratoga-Davistown</w:t>
            </w:r>
          </w:p>
        </w:tc>
        <w:tc>
          <w:p>
            <w:pPr>
              <w:pStyle w:val="Compact"/>
              <w:jc w:val="left"/>
            </w:pPr>
            <w:r>
              <w:t xml:space="preserve">$700-$775</w:t>
            </w:r>
          </w:p>
        </w:tc>
      </w:tr>
      <w:tr>
        <w:tc>
          <w:p>
            <w:pPr>
              <w:pStyle w:val="Compact"/>
              <w:jc w:val="left"/>
            </w:pPr>
            <w:r>
              <w:t xml:space="preserve">Entry (&lt;$650)</w:t>
            </w:r>
          </w:p>
        </w:tc>
        <w:tc>
          <w:p>
            <w:pPr>
              <w:pStyle w:val="Compact"/>
              <w:jc w:val="left"/>
            </w:pPr>
            <w:r>
              <w:t xml:space="preserve">Blue Haven-San Remo, Budgewoi, Toukley-Norah Head, Gorokan, Summerland Point</w:t>
            </w:r>
          </w:p>
        </w:tc>
        <w:tc>
          <w:p>
            <w:pPr>
              <w:pStyle w:val="Compact"/>
              <w:jc w:val="left"/>
            </w:pPr>
            <w:r>
              <w:t xml:space="preserve">$588-$650</w:t>
            </w:r>
          </w:p>
        </w:tc>
      </w:tr>
    </w:tbl>
    <w:p>
      <w:pPr>
        <w:pStyle w:val="BodyText"/>
      </w:pPr>
      <w:r>
        <w:rPr>
          <w:b/>
        </w:rPr>
        <w:t xml:space="preserve">Affordability stress calculation:</w:t>
      </w:r>
      <w:r>
        <w:t xml:space="preserve"> </w:t>
      </w:r>
      <w:r>
        <w:t xml:space="preserve">For a household in Wyong town (median income $1,056/wk), the local median rent of $630/wk consumes</w:t>
      </w:r>
      <w:r>
        <w:t xml:space="preserve"> </w:t>
      </w:r>
      <w:r>
        <w:rPr>
          <w:b/>
        </w:rPr>
        <w:t xml:space="preserve">59.7% of gross income</w:t>
      </w:r>
      <w:r>
        <w:t xml:space="preserve"> </w:t>
      </w:r>
      <w:r>
        <w:t xml:space="preserve">- nearly double the 30% housing stress threshold. Even in Blue Haven-San Remo with rents at $605/wk against local income ($1,250/wk), rental burden sits at</w:t>
      </w:r>
      <w:r>
        <w:t xml:space="preserve"> </w:t>
      </w:r>
      <w:r>
        <w:rPr>
          <w:b/>
        </w:rPr>
        <w:t xml:space="preserve">48.4%</w:t>
      </w:r>
      <w:r>
        <w:t xml:space="preserve">. Rental stress is endemic across the Wyong corridor, and the rising LGA average rent is pushing more households into crisis territory.</w:t>
      </w:r>
    </w:p>
    <w:p>
      <w:pPr>
        <w:pStyle w:val="Heading3"/>
      </w:pPr>
      <w:bookmarkStart w:id="26" w:name="new-supply-pipeline"/>
      <w:r>
        <w:t xml:space="preserve">2.3 New Supply Pipeline</w:t>
      </w:r>
      <w:bookmarkEnd w:id="26"/>
    </w:p>
    <w:p>
      <w:pPr>
        <w:pStyle w:val="FirstParagraph"/>
      </w:pPr>
      <w:r>
        <w:t xml:space="preserve">Development activity (dwellings approved) has eased from the prior period but remains concentrated in growth corridors: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Dwellings Approved</w:t>
            </w:r>
          </w:p>
        </w:tc>
        <w:tc>
          <w:tcPr>
            <w:tcBorders>
              <w:bottom w:val="single"/>
            </w:tcBorders>
            <w:vAlign w:val="bottom"/>
          </w:tcPr>
          <w:p>
            <w:pPr>
              <w:pStyle w:val="Compact"/>
              <w:jc w:val="left"/>
            </w:pPr>
            <w:r>
              <w:t xml:space="preserve">Building Value ($’000)</w:t>
            </w:r>
          </w:p>
        </w:tc>
        <w:tc>
          <w:tcPr>
            <w:tcBorders>
              <w:bottom w:val="single"/>
            </w:tcBorders>
            <w:vAlign w:val="bottom"/>
          </w:tcPr>
          <w:p>
            <w:pPr>
              <w:pStyle w:val="Compact"/>
              <w:jc w:val="left"/>
            </w:pPr>
            <w:r>
              <w:t xml:space="preserve">Region</w:t>
            </w:r>
          </w:p>
        </w:tc>
      </w:tr>
      <w:tr>
        <w:tc>
          <w:p>
            <w:pPr>
              <w:pStyle w:val="Compact"/>
              <w:jc w:val="left"/>
            </w:pPr>
            <w:r>
              <w:t xml:space="preserve">Warnervale - Wadalba</w:t>
            </w:r>
          </w:p>
        </w:tc>
        <w:tc>
          <w:p>
            <w:pPr>
              <w:pStyle w:val="Compact"/>
              <w:jc w:val="left"/>
            </w:pPr>
            <w:r>
              <w:t xml:space="preserve">204</w:t>
            </w:r>
          </w:p>
        </w:tc>
        <w:tc>
          <w:p>
            <w:pPr>
              <w:pStyle w:val="Compact"/>
              <w:jc w:val="left"/>
            </w:pPr>
            <w:r>
              <w:t xml:space="preserve">$91,085</w:t>
            </w:r>
          </w:p>
        </w:tc>
        <w:tc>
          <w:p>
            <w:pPr>
              <w:pStyle w:val="Compact"/>
              <w:jc w:val="left"/>
            </w:pPr>
            <w:r>
              <w:t xml:space="preserve">Wyong</w:t>
            </w:r>
          </w:p>
        </w:tc>
      </w:tr>
      <w:tr>
        <w:tc>
          <w:p>
            <w:pPr>
              <w:pStyle w:val="Compact"/>
              <w:jc w:val="left"/>
            </w:pPr>
            <w:r>
              <w:t xml:space="preserve">Gosford - Springfield</w:t>
            </w:r>
          </w:p>
        </w:tc>
        <w:tc>
          <w:p>
            <w:pPr>
              <w:pStyle w:val="Compact"/>
              <w:jc w:val="left"/>
            </w:pPr>
            <w:r>
              <w:t xml:space="preserve">171</w:t>
            </w:r>
          </w:p>
        </w:tc>
        <w:tc>
          <w:p>
            <w:pPr>
              <w:pStyle w:val="Compact"/>
              <w:jc w:val="left"/>
            </w:pPr>
            <w:r>
              <w:t xml:space="preserve">$133,525</w:t>
            </w:r>
          </w:p>
        </w:tc>
        <w:tc>
          <w:p>
            <w:pPr>
              <w:pStyle w:val="Compact"/>
              <w:jc w:val="left"/>
            </w:pPr>
            <w:r>
              <w:t xml:space="preserve">Gosford</w:t>
            </w:r>
          </w:p>
        </w:tc>
      </w:tr>
      <w:tr>
        <w:tc>
          <w:p>
            <w:pPr>
              <w:pStyle w:val="Compact"/>
              <w:jc w:val="left"/>
            </w:pPr>
            <w:r>
              <w:t xml:space="preserve">The Entrance</w:t>
            </w:r>
          </w:p>
        </w:tc>
        <w:tc>
          <w:p>
            <w:pPr>
              <w:pStyle w:val="Compact"/>
              <w:jc w:val="left"/>
            </w:pPr>
            <w:r>
              <w:t xml:space="preserve">136</w:t>
            </w:r>
          </w:p>
        </w:tc>
        <w:tc>
          <w:p>
            <w:pPr>
              <w:pStyle w:val="Compact"/>
              <w:jc w:val="left"/>
            </w:pPr>
            <w:r>
              <w:t xml:space="preserve">$89,190</w:t>
            </w:r>
          </w:p>
        </w:tc>
        <w:tc>
          <w:p>
            <w:pPr>
              <w:pStyle w:val="Compact"/>
              <w:jc w:val="left"/>
            </w:pPr>
            <w:r>
              <w:t xml:space="preserve">Wyong</w:t>
            </w:r>
          </w:p>
        </w:tc>
      </w:tr>
      <w:tr>
        <w:tc>
          <w:p>
            <w:pPr>
              <w:pStyle w:val="Compact"/>
              <w:jc w:val="left"/>
            </w:pPr>
            <w:r>
              <w:t xml:space="preserve">Summerland Point - Gwandalan</w:t>
            </w:r>
          </w:p>
        </w:tc>
        <w:tc>
          <w:p>
            <w:pPr>
              <w:pStyle w:val="Compact"/>
              <w:jc w:val="left"/>
            </w:pPr>
            <w:r>
              <w:t xml:space="preserve">125</w:t>
            </w:r>
          </w:p>
        </w:tc>
        <w:tc>
          <w:p>
            <w:pPr>
              <w:pStyle w:val="Compact"/>
              <w:jc w:val="left"/>
            </w:pPr>
            <w:r>
              <w:t xml:space="preserve">$60,023</w:t>
            </w:r>
          </w:p>
        </w:tc>
        <w:tc>
          <w:p>
            <w:pPr>
              <w:pStyle w:val="Compact"/>
              <w:jc w:val="left"/>
            </w:pPr>
            <w:r>
              <w:t xml:space="preserve">Wyong</w:t>
            </w:r>
          </w:p>
        </w:tc>
      </w:tr>
      <w:tr>
        <w:tc>
          <w:p>
            <w:pPr>
              <w:pStyle w:val="Compact"/>
              <w:jc w:val="left"/>
            </w:pPr>
            <w:r>
              <w:t xml:space="preserve">Umina - Booker Bay - Patonga</w:t>
            </w:r>
          </w:p>
        </w:tc>
        <w:tc>
          <w:p>
            <w:pPr>
              <w:pStyle w:val="Compact"/>
              <w:jc w:val="left"/>
            </w:pPr>
            <w:r>
              <w:t xml:space="preserve">106</w:t>
            </w:r>
          </w:p>
        </w:tc>
        <w:tc>
          <w:p>
            <w:pPr>
              <w:pStyle w:val="Compact"/>
              <w:jc w:val="left"/>
            </w:pPr>
            <w:r>
              <w:t xml:space="preserve">$77,160</w:t>
            </w:r>
          </w:p>
        </w:tc>
        <w:tc>
          <w:p>
            <w:pPr>
              <w:pStyle w:val="Compact"/>
              <w:jc w:val="left"/>
            </w:pPr>
            <w:r>
              <w:t xml:space="preserve">Gosford</w:t>
            </w:r>
          </w:p>
        </w:tc>
      </w:tr>
      <w:tr>
        <w:tc>
          <w:p>
            <w:pPr>
              <w:pStyle w:val="Compact"/>
              <w:jc w:val="left"/>
            </w:pPr>
            <w:r>
              <w:t xml:space="preserve">Lake Munmorah - Mannering Park</w:t>
            </w:r>
          </w:p>
        </w:tc>
        <w:tc>
          <w:p>
            <w:pPr>
              <w:pStyle w:val="Compact"/>
              <w:jc w:val="left"/>
            </w:pPr>
            <w:r>
              <w:t xml:space="preserve">98</w:t>
            </w:r>
          </w:p>
        </w:tc>
        <w:tc>
          <w:p>
            <w:pPr>
              <w:pStyle w:val="Compact"/>
              <w:jc w:val="left"/>
            </w:pPr>
            <w:r>
              <w:t xml:space="preserve">$31,759</w:t>
            </w:r>
          </w:p>
        </w:tc>
        <w:tc>
          <w:p>
            <w:pPr>
              <w:pStyle w:val="Compact"/>
              <w:jc w:val="left"/>
            </w:pPr>
            <w:r>
              <w:t xml:space="preserve">Wyong</w:t>
            </w:r>
          </w:p>
        </w:tc>
      </w:tr>
    </w:tbl>
    <w:p>
      <w:pPr>
        <w:pStyle w:val="BodyText"/>
      </w:pPr>
      <w:r>
        <w:rPr>
          <w:b/>
        </w:rPr>
        <w:t xml:space="preserve">Total LGA dwelling approvals: 1,331</w:t>
      </w:r>
      <w:r>
        <w:t xml:space="preserve"> </w:t>
      </w:r>
      <w:r>
        <w:t xml:space="preserve">across all SA2s, with</w:t>
      </w:r>
      <w:r>
        <w:t xml:space="preserve"> </w:t>
      </w:r>
      <w:r>
        <w:rPr>
          <w:b/>
        </w:rPr>
        <w:t xml:space="preserve">62% of approvals in Wyong</w:t>
      </w:r>
      <w:r>
        <w:t xml:space="preserve">. Warnervale - Wadalba has eased from 222 to 204 approvals - still the LGA’s busiest construction suburb, but the pipeline is moderating. The Entrance saw the sharpest pullback (156 → 136). Gosford - Springfield is notable for generating the highest building value ($133.5M) despite fewer approvals than Warnervale, reflecting larger/higher-value projects in the CBD corridor.</w:t>
      </w:r>
    </w:p>
    <w:p>
      <w:pPr>
        <w:pStyle w:val="BodyText"/>
      </w:pPr>
      <w:r>
        <w:t xml:space="preserve">The supply skew toward northern Wyong may moderate price pressure at the entry level, but does little to address affordability in high-demand Gosford coastal suburbs where approvals remain constrained (Terrigal: 33, Avoca Beach: 23, Wamberal: 26).</w:t>
      </w:r>
    </w:p>
    <w:p>
      <w:pPr>
        <w:pStyle w:val="Heading3"/>
      </w:pPr>
      <w:bookmarkStart w:id="27" w:name="affordability-stress-assessment"/>
      <w:r>
        <w:t xml:space="preserve">2.4 Affordability Stress Assessment</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Value</w:t>
            </w:r>
          </w:p>
        </w:tc>
      </w:tr>
      <w:tr>
        <w:tc>
          <w:p>
            <w:pPr>
              <w:pStyle w:val="Compact"/>
              <w:jc w:val="left"/>
            </w:pPr>
            <w:r>
              <w:t xml:space="preserve">Average house price (suburbs with data)</w:t>
            </w:r>
          </w:p>
        </w:tc>
        <w:tc>
          <w:p>
            <w:pPr>
              <w:pStyle w:val="Compact"/>
              <w:jc w:val="left"/>
            </w:pPr>
            <w:r>
              <w:t xml:space="preserve">$1,191,900</w:t>
            </w:r>
          </w:p>
        </w:tc>
      </w:tr>
      <w:tr>
        <w:tc>
          <w:p>
            <w:pPr>
              <w:pStyle w:val="Compact"/>
              <w:jc w:val="left"/>
            </w:pPr>
            <w:r>
              <w:t xml:space="preserve">LGA average median weekly household income</w:t>
            </w:r>
          </w:p>
        </w:tc>
        <w:tc>
          <w:p>
            <w:pPr>
              <w:pStyle w:val="Compact"/>
              <w:jc w:val="left"/>
            </w:pPr>
            <w:r>
              <w:t xml:space="preserve">$1,370</w:t>
            </w:r>
          </w:p>
        </w:tc>
      </w:tr>
      <w:tr>
        <w:tc>
          <w:p>
            <w:pPr>
              <w:pStyle w:val="Compact"/>
              <w:jc w:val="left"/>
            </w:pPr>
            <w:r>
              <w:t xml:space="preserve">Annual household income (52 weeks)</w:t>
            </w:r>
          </w:p>
        </w:tc>
        <w:tc>
          <w:p>
            <w:pPr>
              <w:pStyle w:val="Compact"/>
              <w:jc w:val="left"/>
            </w:pPr>
            <w:r>
              <w:t xml:space="preserve">$71,221</w:t>
            </w:r>
          </w:p>
        </w:tc>
      </w:tr>
      <w:tr>
        <w:tc>
          <w:p>
            <w:pPr>
              <w:pStyle w:val="Compact"/>
              <w:jc w:val="left"/>
            </w:pPr>
            <w:r>
              <w:t xml:space="preserve">Price-to-income ratio</w:t>
            </w:r>
          </w:p>
        </w:tc>
        <w:tc>
          <w:p>
            <w:pPr>
              <w:pStyle w:val="Compact"/>
              <w:jc w:val="left"/>
            </w:pPr>
            <w:r>
              <w:rPr>
                <w:b/>
              </w:rPr>
              <w:t xml:space="preserve">16.7×</w:t>
            </w:r>
          </w:p>
        </w:tc>
      </w:tr>
    </w:tbl>
    <w:p>
      <w:pPr>
        <w:pStyle w:val="BodyText"/>
      </w:pPr>
      <w:r>
        <w:t xml:space="preserve">Even in the most affordable suburb (Tuggerah-Kangy Angy, $800,000) against local median income ($1,516/wk = $78,832/yr), the price-to-income ratio is</w:t>
      </w:r>
      <w:r>
        <w:t xml:space="preserve"> </w:t>
      </w:r>
      <w:r>
        <w:rPr>
          <w:b/>
        </w:rPr>
        <w:t xml:space="preserve">10.1×</w:t>
      </w:r>
      <w:r>
        <w:t xml:space="preserve"> </w:t>
      </w:r>
      <w:r>
        <w:t xml:space="preserve">- still well above the 6× threshold considered sustainable. This is a structural affordability crisis. The LGA-wide ratio has worsened from 16.4× to 16.7× - house prices have risen faster than incomes across the period.</w:t>
      </w:r>
    </w:p>
    <w:p>
      <w:r>
        <w:pict>
          <v:rect style="width:0;height:1.5pt" o:hralign="center" o:hrstd="t" o:hr="t"/>
        </w:pict>
      </w:r>
    </w:p>
    <w:p>
      <w:pPr>
        <w:pStyle w:val="Heading2"/>
      </w:pPr>
      <w:bookmarkStart w:id="28" w:name="employment-economic-wellbeing"/>
      <w:r>
        <w:t xml:space="preserve">3. Employment &amp; Economic Wellbeing</w:t>
      </w:r>
      <w:bookmarkEnd w:id="28"/>
    </w:p>
    <w:p>
      <w:pPr>
        <w:pStyle w:val="Heading3"/>
      </w:pPr>
      <w:bookmarkStart w:id="29" w:name="unemployment-hotspots"/>
      <w:r>
        <w:t xml:space="preserve">3.1 Unemployment Hotspots</w:t>
      </w:r>
      <w:bookmarkEnd w:id="29"/>
    </w:p>
    <w:p>
      <w:pPr>
        <w:pStyle w:val="FirstParagraph"/>
      </w:pPr>
      <w:r>
        <w:t xml:space="preserve">Unemployment is heavily concentrated in northern Wyong and has not materially improved: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Unemployment Rate</w:t>
            </w:r>
          </w:p>
        </w:tc>
        <w:tc>
          <w:tcPr>
            <w:tcBorders>
              <w:bottom w:val="single"/>
            </w:tcBorders>
            <w:vAlign w:val="bottom"/>
          </w:tcPr>
          <w:p>
            <w:pPr>
              <w:pStyle w:val="Compact"/>
              <w:jc w:val="left"/>
            </w:pPr>
            <w:r>
              <w:t xml:space="preserve">JobSeeker Recipients</w:t>
            </w:r>
          </w:p>
        </w:tc>
        <w:tc>
          <w:tcPr>
            <w:tcBorders>
              <w:bottom w:val="single"/>
            </w:tcBorders>
            <w:vAlign w:val="bottom"/>
          </w:tcPr>
          <w:p>
            <w:pPr>
              <w:pStyle w:val="Compact"/>
              <w:jc w:val="left"/>
            </w:pPr>
            <w:r>
              <w:t xml:space="preserve">Median Income/wk</w:t>
            </w:r>
          </w:p>
        </w:tc>
      </w:tr>
      <w:tr>
        <w:tc>
          <w:p>
            <w:pPr>
              <w:pStyle w:val="Compact"/>
              <w:jc w:val="left"/>
            </w:pPr>
            <w:r>
              <w:t xml:space="preserve">Wyong</w:t>
            </w:r>
          </w:p>
        </w:tc>
        <w:tc>
          <w:p>
            <w:pPr>
              <w:pStyle w:val="Compact"/>
              <w:jc w:val="left"/>
            </w:pPr>
            <w:r>
              <w:t xml:space="preserve">Wyong</w:t>
            </w:r>
          </w:p>
        </w:tc>
        <w:tc>
          <w:p>
            <w:pPr>
              <w:pStyle w:val="Compact"/>
              <w:jc w:val="left"/>
            </w:pPr>
            <w:r>
              <w:rPr>
                <w:b/>
              </w:rPr>
              <w:t xml:space="preserve">8.1%</w:t>
            </w:r>
          </w:p>
        </w:tc>
        <w:tc>
          <w:p>
            <w:pPr>
              <w:pStyle w:val="Compact"/>
              <w:jc w:val="left"/>
            </w:pPr>
            <w:r>
              <w:t xml:space="preserve">595</w:t>
            </w:r>
          </w:p>
        </w:tc>
        <w:tc>
          <w:p>
            <w:pPr>
              <w:pStyle w:val="Compact"/>
              <w:jc w:val="left"/>
            </w:pPr>
            <w:r>
              <w:t xml:space="preserve">$1,056</w:t>
            </w:r>
          </w:p>
        </w:tc>
      </w:tr>
      <w:tr>
        <w:tc>
          <w:p>
            <w:pPr>
              <w:pStyle w:val="Compact"/>
              <w:jc w:val="left"/>
            </w:pPr>
            <w:r>
              <w:t xml:space="preserve">Blue Haven - San Remo</w:t>
            </w:r>
          </w:p>
        </w:tc>
        <w:tc>
          <w:p>
            <w:pPr>
              <w:pStyle w:val="Compact"/>
              <w:jc w:val="left"/>
            </w:pPr>
            <w:r>
              <w:t xml:space="preserve">Wyong</w:t>
            </w:r>
          </w:p>
        </w:tc>
        <w:tc>
          <w:p>
            <w:pPr>
              <w:pStyle w:val="Compact"/>
              <w:jc w:val="left"/>
            </w:pPr>
            <w:r>
              <w:t xml:space="preserve">5.8%</w:t>
            </w:r>
          </w:p>
        </w:tc>
        <w:tc>
          <w:p>
            <w:pPr>
              <w:pStyle w:val="Compact"/>
              <w:jc w:val="left"/>
            </w:pPr>
            <w:r>
              <w:t xml:space="preserve">585</w:t>
            </w:r>
          </w:p>
        </w:tc>
        <w:tc>
          <w:p>
            <w:pPr>
              <w:pStyle w:val="Compact"/>
              <w:jc w:val="left"/>
            </w:pPr>
            <w:r>
              <w:t xml:space="preserve">$1,250</w:t>
            </w:r>
          </w:p>
        </w:tc>
      </w:tr>
      <w:tr>
        <w:tc>
          <w:p>
            <w:pPr>
              <w:pStyle w:val="Compact"/>
              <w:jc w:val="left"/>
            </w:pPr>
            <w:r>
              <w:t xml:space="preserve">Gorokan - Kanwal - Charmhaven</w:t>
            </w:r>
          </w:p>
        </w:tc>
        <w:tc>
          <w:p>
            <w:pPr>
              <w:pStyle w:val="Compact"/>
              <w:jc w:val="left"/>
            </w:pPr>
            <w:r>
              <w:t xml:space="preserve">Wyong</w:t>
            </w:r>
          </w:p>
        </w:tc>
        <w:tc>
          <w:p>
            <w:pPr>
              <w:pStyle w:val="Compact"/>
              <w:jc w:val="left"/>
            </w:pPr>
            <w:r>
              <w:t xml:space="preserve">5.8%</w:t>
            </w:r>
          </w:p>
        </w:tc>
        <w:tc>
          <w:p>
            <w:pPr>
              <w:pStyle w:val="Compact"/>
              <w:jc w:val="left"/>
            </w:pPr>
            <w:r>
              <w:t xml:space="preserve">1,165</w:t>
            </w:r>
          </w:p>
        </w:tc>
        <w:tc>
          <w:p>
            <w:pPr>
              <w:pStyle w:val="Compact"/>
              <w:jc w:val="left"/>
            </w:pPr>
            <w:r>
              <w:t xml:space="preserve">$1,051</w:t>
            </w:r>
          </w:p>
        </w:tc>
      </w:tr>
      <w:tr>
        <w:tc>
          <w:p>
            <w:pPr>
              <w:pStyle w:val="Compact"/>
              <w:jc w:val="left"/>
            </w:pPr>
            <w:r>
              <w:t xml:space="preserve">The Entrance</w:t>
            </w:r>
          </w:p>
        </w:tc>
        <w:tc>
          <w:p>
            <w:pPr>
              <w:pStyle w:val="Compact"/>
              <w:jc w:val="left"/>
            </w:pPr>
            <w:r>
              <w:t xml:space="preserve">Wyong</w:t>
            </w:r>
          </w:p>
        </w:tc>
        <w:tc>
          <w:p>
            <w:pPr>
              <w:pStyle w:val="Compact"/>
              <w:jc w:val="left"/>
            </w:pPr>
            <w:r>
              <w:t xml:space="preserve">5.6%</w:t>
            </w:r>
          </w:p>
        </w:tc>
        <w:tc>
          <w:p>
            <w:pPr>
              <w:pStyle w:val="Compact"/>
              <w:jc w:val="left"/>
            </w:pPr>
            <w:r>
              <w:t xml:space="preserve">920</w:t>
            </w:r>
          </w:p>
        </w:tc>
        <w:tc>
          <w:p>
            <w:pPr>
              <w:pStyle w:val="Compact"/>
              <w:jc w:val="left"/>
            </w:pPr>
            <w:r>
              <w:t xml:space="preserve">$984</w:t>
            </w:r>
          </w:p>
        </w:tc>
      </w:tr>
      <w:tr>
        <w:tc>
          <w:p>
            <w:pPr>
              <w:pStyle w:val="Compact"/>
              <w:jc w:val="left"/>
            </w:pPr>
            <w:r>
              <w:t xml:space="preserve">Toukley - Norah Head</w:t>
            </w:r>
          </w:p>
        </w:tc>
        <w:tc>
          <w:p>
            <w:pPr>
              <w:pStyle w:val="Compact"/>
              <w:jc w:val="left"/>
            </w:pPr>
            <w:r>
              <w:t xml:space="preserve">Wyong</w:t>
            </w:r>
          </w:p>
        </w:tc>
        <w:tc>
          <w:p>
            <w:pPr>
              <w:pStyle w:val="Compact"/>
              <w:jc w:val="left"/>
            </w:pPr>
            <w:r>
              <w:t xml:space="preserve">5.4%</w:t>
            </w:r>
          </w:p>
        </w:tc>
        <w:tc>
          <w:p>
            <w:pPr>
              <w:pStyle w:val="Compact"/>
              <w:jc w:val="left"/>
            </w:pPr>
            <w:r>
              <w:t xml:space="preserve">480</w:t>
            </w:r>
          </w:p>
        </w:tc>
        <w:tc>
          <w:p>
            <w:pPr>
              <w:pStyle w:val="Compact"/>
              <w:jc w:val="left"/>
            </w:pPr>
            <w:r>
              <w:t xml:space="preserve">$971</w:t>
            </w:r>
          </w:p>
        </w:tc>
      </w:tr>
      <w:tr>
        <w:tc>
          <w:p>
            <w:pPr>
              <w:pStyle w:val="Compact"/>
              <w:jc w:val="left"/>
            </w:pPr>
            <w:r>
              <w:t xml:space="preserve">Woy Woy - Blackwall</w:t>
            </w:r>
          </w:p>
        </w:tc>
        <w:tc>
          <w:p>
            <w:pPr>
              <w:pStyle w:val="Compact"/>
              <w:jc w:val="left"/>
            </w:pPr>
            <w:r>
              <w:t xml:space="preserve">Gosford</w:t>
            </w:r>
          </w:p>
        </w:tc>
        <w:tc>
          <w:p>
            <w:pPr>
              <w:pStyle w:val="Compact"/>
              <w:jc w:val="left"/>
            </w:pPr>
            <w:r>
              <w:t xml:space="preserve">5.1%</w:t>
            </w:r>
          </w:p>
        </w:tc>
        <w:tc>
          <w:p>
            <w:pPr>
              <w:pStyle w:val="Compact"/>
              <w:jc w:val="left"/>
            </w:pPr>
            <w:r>
              <w:t xml:space="preserve">735</w:t>
            </w:r>
          </w:p>
        </w:tc>
        <w:tc>
          <w:p>
            <w:pPr>
              <w:pStyle w:val="Compact"/>
              <w:jc w:val="left"/>
            </w:pPr>
            <w:r>
              <w:t xml:space="preserve">$1,040</w:t>
            </w:r>
          </w:p>
        </w:tc>
      </w:tr>
      <w:tr>
        <w:tc>
          <w:p>
            <w:pPr>
              <w:pStyle w:val="Compact"/>
              <w:jc w:val="left"/>
            </w:pPr>
            <w:r>
              <w:t xml:space="preserve">Budgewoi - Buff Point - Halekulani</w:t>
            </w:r>
          </w:p>
        </w:tc>
        <w:tc>
          <w:p>
            <w:pPr>
              <w:pStyle w:val="Compact"/>
              <w:jc w:val="left"/>
            </w:pPr>
            <w:r>
              <w:t xml:space="preserve">Wyong</w:t>
            </w:r>
          </w:p>
        </w:tc>
        <w:tc>
          <w:p>
            <w:pPr>
              <w:pStyle w:val="Compact"/>
              <w:jc w:val="left"/>
            </w:pPr>
            <w:r>
              <w:t xml:space="preserve">4.7%</w:t>
            </w:r>
          </w:p>
        </w:tc>
        <w:tc>
          <w:p>
            <w:pPr>
              <w:pStyle w:val="Compact"/>
              <w:jc w:val="left"/>
            </w:pPr>
            <w:r>
              <w:t xml:space="preserve">475</w:t>
            </w:r>
          </w:p>
        </w:tc>
        <w:tc>
          <w:p>
            <w:pPr>
              <w:pStyle w:val="Compact"/>
              <w:jc w:val="left"/>
            </w:pPr>
            <w:r>
              <w:t xml:space="preserve">$1,005</w:t>
            </w:r>
          </w:p>
        </w:tc>
      </w:tr>
    </w:tbl>
    <w:p>
      <w:pPr>
        <w:pStyle w:val="BodyText"/>
      </w:pPr>
      <w:r>
        <w:t xml:space="preserve">The suburb of</w:t>
      </w:r>
      <w:r>
        <w:t xml:space="preserve"> </w:t>
      </w:r>
      <w:r>
        <w:rPr>
          <w:b/>
        </w:rPr>
        <w:t xml:space="preserve">Wyong</w:t>
      </w:r>
      <w:r>
        <w:t xml:space="preserve"> </w:t>
      </w:r>
      <w:r>
        <w:t xml:space="preserve">records 8.1% unemployment -</w:t>
      </w:r>
      <w:r>
        <w:t xml:space="preserve"> </w:t>
      </w:r>
      <w:r>
        <w:rPr>
          <w:b/>
        </w:rPr>
        <w:t xml:space="preserve">3.4× the Gosford SA3 average</w:t>
      </w:r>
      <w:r>
        <w:t xml:space="preserve"> </w:t>
      </w:r>
      <w:r>
        <w:t xml:space="preserve">(2.4%) and more than</w:t>
      </w:r>
      <w:r>
        <w:t xml:space="preserve"> </w:t>
      </w:r>
      <w:r>
        <w:rPr>
          <w:b/>
        </w:rPr>
        <w:t xml:space="preserve">7× the rate in Avoca Beach-Copacabana</w:t>
      </w:r>
      <w:r>
        <w:t xml:space="preserve"> </w:t>
      </w:r>
      <w:r>
        <w:t xml:space="preserve">(1.1%). This is structural, place-based unemployment. Gorokan-Kanwal-Charmhaven carries 1,165 individual JobSeeker recipients - the highest absolute count of any suburb, reflecting its role as the largest concentrator of disadvantage in the LGA.</w:t>
      </w:r>
    </w:p>
    <w:p>
      <w:pPr>
        <w:pStyle w:val="BodyText"/>
      </w:pPr>
      <w:r>
        <w:rPr>
          <w:b/>
        </w:rPr>
        <w:t xml:space="preserve">Low-unemployment Gosford suburbs (all below 1.5%):</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Unemployment Rate</w:t>
            </w:r>
          </w:p>
        </w:tc>
        <w:tc>
          <w:tcPr>
            <w:tcBorders>
              <w:bottom w:val="single"/>
            </w:tcBorders>
            <w:vAlign w:val="bottom"/>
          </w:tcPr>
          <w:p>
            <w:pPr>
              <w:pStyle w:val="Compact"/>
              <w:jc w:val="left"/>
            </w:pPr>
            <w:r>
              <w:t xml:space="preserve">JobSeeker Recipients</w:t>
            </w:r>
          </w:p>
        </w:tc>
      </w:tr>
      <w:tr>
        <w:tc>
          <w:p>
            <w:pPr>
              <w:pStyle w:val="Compact"/>
              <w:jc w:val="left"/>
            </w:pPr>
            <w:r>
              <w:t xml:space="preserve">Avoca Beach - Copacabana</w:t>
            </w:r>
          </w:p>
        </w:tc>
        <w:tc>
          <w:p>
            <w:pPr>
              <w:pStyle w:val="Compact"/>
              <w:jc w:val="left"/>
            </w:pPr>
            <w:r>
              <w:t xml:space="preserve">1.1%</w:t>
            </w:r>
          </w:p>
        </w:tc>
        <w:tc>
          <w:p>
            <w:pPr>
              <w:pStyle w:val="Compact"/>
              <w:jc w:val="left"/>
            </w:pPr>
            <w:r>
              <w:t xml:space="preserve">135</w:t>
            </w:r>
          </w:p>
        </w:tc>
      </w:tr>
      <w:tr>
        <w:tc>
          <w:p>
            <w:pPr>
              <w:pStyle w:val="Compact"/>
              <w:jc w:val="left"/>
            </w:pPr>
            <w:r>
              <w:t xml:space="preserve">Saratoga - Davistown</w:t>
            </w:r>
          </w:p>
        </w:tc>
        <w:tc>
          <w:p>
            <w:pPr>
              <w:pStyle w:val="Compact"/>
              <w:jc w:val="left"/>
            </w:pPr>
            <w:r>
              <w:t xml:space="preserve">1.3%</w:t>
            </w:r>
          </w:p>
        </w:tc>
        <w:tc>
          <w:p>
            <w:pPr>
              <w:pStyle w:val="Compact"/>
              <w:jc w:val="left"/>
            </w:pPr>
            <w:r>
              <w:t xml:space="preserve">135</w:t>
            </w:r>
          </w:p>
        </w:tc>
      </w:tr>
      <w:tr>
        <w:tc>
          <w:p>
            <w:pPr>
              <w:pStyle w:val="Compact"/>
              <w:jc w:val="left"/>
            </w:pPr>
            <w:r>
              <w:t xml:space="preserve">Box Head - MacMasters Beach</w:t>
            </w:r>
          </w:p>
        </w:tc>
        <w:tc>
          <w:p>
            <w:pPr>
              <w:pStyle w:val="Compact"/>
              <w:jc w:val="left"/>
            </w:pPr>
            <w:r>
              <w:t xml:space="preserve">1.3%</w:t>
            </w:r>
          </w:p>
        </w:tc>
        <w:tc>
          <w:p>
            <w:pPr>
              <w:pStyle w:val="Compact"/>
              <w:jc w:val="left"/>
            </w:pPr>
            <w:r>
              <w:t xml:space="preserve">210</w:t>
            </w:r>
          </w:p>
        </w:tc>
      </w:tr>
      <w:tr>
        <w:tc>
          <w:p>
            <w:pPr>
              <w:pStyle w:val="Compact"/>
              <w:jc w:val="left"/>
            </w:pPr>
            <w:r>
              <w:t xml:space="preserve">Terrigal - North Avoca</w:t>
            </w:r>
          </w:p>
        </w:tc>
        <w:tc>
          <w:p>
            <w:pPr>
              <w:pStyle w:val="Compact"/>
              <w:jc w:val="left"/>
            </w:pPr>
            <w:r>
              <w:t xml:space="preserve">1.3%</w:t>
            </w:r>
          </w:p>
        </w:tc>
        <w:tc>
          <w:p>
            <w:pPr>
              <w:pStyle w:val="Compact"/>
              <w:jc w:val="left"/>
            </w:pPr>
            <w:r>
              <w:t xml:space="preserve">260</w:t>
            </w:r>
          </w:p>
        </w:tc>
      </w:tr>
      <w:tr>
        <w:tc>
          <w:p>
            <w:pPr>
              <w:pStyle w:val="Compact"/>
              <w:jc w:val="left"/>
            </w:pPr>
            <w:r>
              <w:t xml:space="preserve">Wamberal - Forresters Beach</w:t>
            </w:r>
          </w:p>
        </w:tc>
        <w:tc>
          <w:p>
            <w:pPr>
              <w:pStyle w:val="Compact"/>
              <w:jc w:val="left"/>
            </w:pPr>
            <w:r>
              <w:t xml:space="preserve">1.4%</w:t>
            </w:r>
          </w:p>
        </w:tc>
        <w:tc>
          <w:p>
            <w:pPr>
              <w:pStyle w:val="Compact"/>
              <w:jc w:val="left"/>
            </w:pPr>
            <w:r>
              <w:t xml:space="preserve">180</w:t>
            </w:r>
          </w:p>
        </w:tc>
      </w:tr>
    </w:tbl>
    <w:p>
      <w:pPr>
        <w:pStyle w:val="Heading3"/>
      </w:pPr>
      <w:bookmarkStart w:id="30" w:name="business-activity"/>
      <w:r>
        <w:t xml:space="preserve">3.2 Business Activity</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Gosford SA3</w:t>
            </w:r>
          </w:p>
        </w:tc>
        <w:tc>
          <w:tcPr>
            <w:tcBorders>
              <w:bottom w:val="single"/>
            </w:tcBorders>
            <w:vAlign w:val="bottom"/>
          </w:tcPr>
          <w:p>
            <w:pPr>
              <w:pStyle w:val="Compact"/>
              <w:jc w:val="left"/>
            </w:pPr>
            <w:r>
              <w:t xml:space="preserve">Wyong SA3</w:t>
            </w:r>
          </w:p>
        </w:tc>
        <w:tc>
          <w:tcPr>
            <w:tcBorders>
              <w:bottom w:val="single"/>
            </w:tcBorders>
            <w:vAlign w:val="bottom"/>
          </w:tcPr>
          <w:p>
            <w:pPr>
              <w:pStyle w:val="Compact"/>
              <w:jc w:val="left"/>
            </w:pPr>
            <w:r>
              <w:t xml:space="preserve">LGA Total</w:t>
            </w:r>
          </w:p>
        </w:tc>
      </w:tr>
      <w:tr>
        <w:tc>
          <w:p>
            <w:pPr>
              <w:pStyle w:val="Compact"/>
              <w:jc w:val="left"/>
            </w:pPr>
            <w:r>
              <w:t xml:space="preserve">Total Businesses</w:t>
            </w:r>
          </w:p>
        </w:tc>
        <w:tc>
          <w:p>
            <w:pPr>
              <w:pStyle w:val="Compact"/>
              <w:jc w:val="left"/>
            </w:pPr>
            <w:r>
              <w:t xml:space="preserve">16,040</w:t>
            </w:r>
          </w:p>
        </w:tc>
        <w:tc>
          <w:p>
            <w:pPr>
              <w:pStyle w:val="Compact"/>
              <w:jc w:val="left"/>
            </w:pPr>
            <w:r>
              <w:t xml:space="preserve">11,087</w:t>
            </w:r>
          </w:p>
        </w:tc>
        <w:tc>
          <w:p>
            <w:pPr>
              <w:pStyle w:val="Compact"/>
              <w:jc w:val="left"/>
            </w:pPr>
            <w:r>
              <w:rPr>
                <w:b/>
              </w:rPr>
              <w:t xml:space="preserve">27,127</w:t>
            </w:r>
          </w:p>
        </w:tc>
      </w:tr>
      <w:tr>
        <w:tc>
          <w:p>
            <w:pPr>
              <w:pStyle w:val="Compact"/>
              <w:jc w:val="left"/>
            </w:pPr>
            <w:r>
              <w:t xml:space="preserve">Healthcare Businesses</w:t>
            </w:r>
          </w:p>
        </w:tc>
        <w:tc>
          <w:p>
            <w:pPr>
              <w:pStyle w:val="Compact"/>
              <w:jc w:val="left"/>
            </w:pPr>
            <w:r>
              <w:t xml:space="preserve">1,578</w:t>
            </w:r>
          </w:p>
        </w:tc>
        <w:tc>
          <w:p>
            <w:pPr>
              <w:pStyle w:val="Compact"/>
              <w:jc w:val="left"/>
            </w:pPr>
            <w:r>
              <w:t xml:space="preserve">872</w:t>
            </w:r>
          </w:p>
        </w:tc>
        <w:tc>
          <w:p>
            <w:pPr>
              <w:pStyle w:val="Compact"/>
              <w:jc w:val="left"/>
            </w:pPr>
            <w:r>
              <w:t xml:space="preserve">2,450</w:t>
            </w:r>
          </w:p>
        </w:tc>
      </w:tr>
      <w:tr>
        <w:tc>
          <w:p>
            <w:pPr>
              <w:pStyle w:val="Compact"/>
              <w:jc w:val="left"/>
            </w:pPr>
            <w:r>
              <w:t xml:space="preserve">Tourism Businesses</w:t>
            </w:r>
          </w:p>
        </w:tc>
        <w:tc>
          <w:p>
            <w:pPr>
              <w:pStyle w:val="Compact"/>
              <w:jc w:val="left"/>
            </w:pPr>
            <w:r>
              <w:t xml:space="preserve">675</w:t>
            </w:r>
          </w:p>
        </w:tc>
        <w:tc>
          <w:p>
            <w:pPr>
              <w:pStyle w:val="Compact"/>
              <w:jc w:val="left"/>
            </w:pPr>
            <w:r>
              <w:t xml:space="preserve">499</w:t>
            </w:r>
          </w:p>
        </w:tc>
        <w:tc>
          <w:p>
            <w:pPr>
              <w:pStyle w:val="Compact"/>
              <w:jc w:val="left"/>
            </w:pPr>
            <w:r>
              <w:t xml:space="preserve">1,174</w:t>
            </w:r>
          </w:p>
        </w:tc>
      </w:tr>
      <w:tr>
        <w:tc>
          <w:p>
            <w:pPr>
              <w:pStyle w:val="Compact"/>
              <w:jc w:val="left"/>
            </w:pPr>
            <w:r>
              <w:t xml:space="preserve">Manufacturing Businesses</w:t>
            </w:r>
          </w:p>
        </w:tc>
        <w:tc>
          <w:p>
            <w:pPr>
              <w:pStyle w:val="Compact"/>
              <w:jc w:val="left"/>
            </w:pPr>
            <w:r>
              <w:t xml:space="preserve">570</w:t>
            </w:r>
          </w:p>
        </w:tc>
        <w:tc>
          <w:p>
            <w:pPr>
              <w:pStyle w:val="Compact"/>
              <w:jc w:val="left"/>
            </w:pPr>
            <w:r>
              <w:t xml:space="preserve">423</w:t>
            </w:r>
          </w:p>
        </w:tc>
        <w:tc>
          <w:p>
            <w:pPr>
              <w:pStyle w:val="Compact"/>
              <w:jc w:val="left"/>
            </w:pPr>
            <w:r>
              <w:t xml:space="preserve">993</w:t>
            </w:r>
          </w:p>
        </w:tc>
      </w:tr>
    </w:tbl>
    <w:p>
      <w:pPr>
        <w:pStyle w:val="BodyText"/>
      </w:pPr>
      <w:r>
        <w:t xml:space="preserve">Gosford holds</w:t>
      </w:r>
      <w:r>
        <w:t xml:space="preserve"> </w:t>
      </w:r>
      <w:r>
        <w:rPr>
          <w:b/>
        </w:rPr>
        <w:t xml:space="preserve">59%</w:t>
      </w:r>
      <w:r>
        <w:t xml:space="preserve"> </w:t>
      </w:r>
      <w:r>
        <w:t xml:space="preserve">of all business registrations despite representing 51% of population.</w:t>
      </w:r>
      <w:r>
        <w:t xml:space="preserve"> </w:t>
      </w:r>
      <w:r>
        <w:rPr>
          <w:b/>
        </w:rPr>
        <w:t xml:space="preserve">Gosford - Springfield</w:t>
      </w:r>
      <w:r>
        <w:t xml:space="preserve"> </w:t>
      </w:r>
      <w:r>
        <w:t xml:space="preserve">(2,629 businesses) is the clear commercial centre, followed by</w:t>
      </w:r>
      <w:r>
        <w:t xml:space="preserve"> </w:t>
      </w:r>
      <w:r>
        <w:rPr>
          <w:b/>
        </w:rPr>
        <w:t xml:space="preserve">Erina - Green Point</w:t>
      </w:r>
      <w:r>
        <w:t xml:space="preserve"> </w:t>
      </w:r>
      <w:r>
        <w:t xml:space="preserve">(1,807) and</w:t>
      </w:r>
      <w:r>
        <w:t xml:space="preserve"> </w:t>
      </w:r>
      <w:r>
        <w:rPr>
          <w:b/>
        </w:rPr>
        <w:t xml:space="preserve">Terrigal - North Avoca</w:t>
      </w:r>
      <w:r>
        <w:t xml:space="preserve"> </w:t>
      </w:r>
      <w:r>
        <w:t xml:space="preserve">(1,577). These three suburbs alone account for 37% of Gosford’s total business base.</w:t>
      </w:r>
    </w:p>
    <w:p>
      <w:pPr>
        <w:pStyle w:val="BodyText"/>
      </w:pPr>
      <w:r>
        <w:t xml:space="preserve">In Wyong, business activity is more dispersed, with</w:t>
      </w:r>
      <w:r>
        <w:t xml:space="preserve"> </w:t>
      </w:r>
      <w:r>
        <w:rPr>
          <w:b/>
        </w:rPr>
        <w:t xml:space="preserve">Bateau Bay - Killarney Vale</w:t>
      </w:r>
      <w:r>
        <w:t xml:space="preserve"> </w:t>
      </w:r>
      <w:r>
        <w:t xml:space="preserve">(1,303) and</w:t>
      </w:r>
      <w:r>
        <w:t xml:space="preserve"> </w:t>
      </w:r>
      <w:r>
        <w:rPr>
          <w:b/>
        </w:rPr>
        <w:t xml:space="preserve">Chittaway Bay - Tumbi Umbi</w:t>
      </w:r>
      <w:r>
        <w:t xml:space="preserve"> </w:t>
      </w:r>
      <w:r>
        <w:t xml:space="preserve">(1,284) serving as secondary commercial nodes.</w:t>
      </w:r>
    </w:p>
    <w:p>
      <w:pPr>
        <w:pStyle w:val="Heading3"/>
      </w:pPr>
      <w:bookmarkStart w:id="31" w:name="welfare-dependency"/>
      <w:r>
        <w:t xml:space="preserve">3.3 Welfare Dependency</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Payment Type</w:t>
            </w:r>
          </w:p>
        </w:tc>
        <w:tc>
          <w:tcPr>
            <w:tcBorders>
              <w:bottom w:val="single"/>
            </w:tcBorders>
            <w:vAlign w:val="bottom"/>
          </w:tcPr>
          <w:p>
            <w:pPr>
              <w:pStyle w:val="Compact"/>
              <w:jc w:val="left"/>
            </w:pPr>
            <w:r>
              <w:t xml:space="preserve">Total Recipients</w:t>
            </w:r>
          </w:p>
        </w:tc>
        <w:tc>
          <w:tcPr>
            <w:tcBorders>
              <w:bottom w:val="single"/>
            </w:tcBorders>
            <w:vAlign w:val="bottom"/>
          </w:tcPr>
          <w:p>
            <w:pPr>
              <w:pStyle w:val="Compact"/>
              <w:jc w:val="left"/>
            </w:pPr>
            <w:r>
              <w:t xml:space="preserve">% of Population</w:t>
            </w:r>
          </w:p>
        </w:tc>
      </w:tr>
      <w:tr>
        <w:tc>
          <w:p>
            <w:pPr>
              <w:pStyle w:val="Compact"/>
              <w:jc w:val="left"/>
            </w:pPr>
            <w:r>
              <w:t xml:space="preserve">Age Pension</w:t>
            </w:r>
          </w:p>
        </w:tc>
        <w:tc>
          <w:p>
            <w:pPr>
              <w:pStyle w:val="Compact"/>
              <w:jc w:val="left"/>
            </w:pPr>
            <w:r>
              <w:rPr>
                <w:b/>
              </w:rPr>
              <w:t xml:space="preserve">49,360</w:t>
            </w:r>
          </w:p>
        </w:tc>
        <w:tc>
          <w:p>
            <w:pPr>
              <w:pStyle w:val="Compact"/>
              <w:jc w:val="left"/>
            </w:pPr>
            <w:r>
              <w:t xml:space="preserve">13.9%</w:t>
            </w:r>
          </w:p>
        </w:tc>
      </w:tr>
      <w:tr>
        <w:tc>
          <w:p>
            <w:pPr>
              <w:pStyle w:val="Compact"/>
              <w:jc w:val="left"/>
            </w:pPr>
            <w:r>
              <w:t xml:space="preserve">Commonwealth Rent Assistance</w:t>
            </w:r>
          </w:p>
        </w:tc>
        <w:tc>
          <w:p>
            <w:pPr>
              <w:pStyle w:val="Compact"/>
              <w:jc w:val="left"/>
            </w:pPr>
            <w:r>
              <w:rPr>
                <w:b/>
              </w:rPr>
              <w:t xml:space="preserve">27,695</w:t>
            </w:r>
          </w:p>
        </w:tc>
        <w:tc>
          <w:p>
            <w:pPr>
              <w:pStyle w:val="Compact"/>
              <w:jc w:val="left"/>
            </w:pPr>
            <w:r>
              <w:t xml:space="preserve">7.8%</w:t>
            </w:r>
          </w:p>
        </w:tc>
      </w:tr>
      <w:tr>
        <w:tc>
          <w:p>
            <w:pPr>
              <w:pStyle w:val="Compact"/>
              <w:jc w:val="left"/>
            </w:pPr>
            <w:r>
              <w:t xml:space="preserve">Family Tax Benefit A</w:t>
            </w:r>
          </w:p>
        </w:tc>
        <w:tc>
          <w:p>
            <w:pPr>
              <w:pStyle w:val="Compact"/>
              <w:jc w:val="left"/>
            </w:pPr>
            <w:r>
              <w:t xml:space="preserve">17,955</w:t>
            </w:r>
          </w:p>
        </w:tc>
        <w:tc>
          <w:p>
            <w:pPr>
              <w:pStyle w:val="Compact"/>
              <w:jc w:val="left"/>
            </w:pPr>
            <w:r>
              <w:t xml:space="preserve">5.1%</w:t>
            </w:r>
          </w:p>
        </w:tc>
      </w:tr>
      <w:tr>
        <w:tc>
          <w:p>
            <w:pPr>
              <w:pStyle w:val="Compact"/>
              <w:jc w:val="left"/>
            </w:pPr>
            <w:r>
              <w:t xml:space="preserve">Health Care Card</w:t>
            </w:r>
          </w:p>
        </w:tc>
        <w:tc>
          <w:p>
            <w:pPr>
              <w:pStyle w:val="Compact"/>
              <w:jc w:val="left"/>
            </w:pPr>
            <w:r>
              <w:t xml:space="preserve">16,280</w:t>
            </w:r>
          </w:p>
        </w:tc>
        <w:tc>
          <w:p>
            <w:pPr>
              <w:pStyle w:val="Compact"/>
              <w:jc w:val="left"/>
            </w:pPr>
            <w:r>
              <w:t xml:space="preserve">4.6%</w:t>
            </w:r>
          </w:p>
        </w:tc>
      </w:tr>
      <w:tr>
        <w:tc>
          <w:p>
            <w:pPr>
              <w:pStyle w:val="Compact"/>
              <w:jc w:val="left"/>
            </w:pPr>
            <w:r>
              <w:t xml:space="preserve">Disability Support Pension</w:t>
            </w:r>
          </w:p>
        </w:tc>
        <w:tc>
          <w:p>
            <w:pPr>
              <w:pStyle w:val="Compact"/>
              <w:jc w:val="left"/>
            </w:pPr>
            <w:r>
              <w:t xml:space="preserve">14,330</w:t>
            </w:r>
          </w:p>
        </w:tc>
        <w:tc>
          <w:p>
            <w:pPr>
              <w:pStyle w:val="Compact"/>
              <w:jc w:val="left"/>
            </w:pPr>
            <w:r>
              <w:t xml:space="preserve">4.0%</w:t>
            </w:r>
          </w:p>
        </w:tc>
      </w:tr>
      <w:tr>
        <w:tc>
          <w:p>
            <w:pPr>
              <w:pStyle w:val="Compact"/>
              <w:jc w:val="left"/>
            </w:pPr>
            <w:r>
              <w:rPr>
                <w:b/>
              </w:rPr>
              <w:t xml:space="preserve">JobSeeker Payment</w:t>
            </w:r>
          </w:p>
        </w:tc>
        <w:tc>
          <w:p>
            <w:pPr>
              <w:pStyle w:val="Compact"/>
              <w:jc w:val="left"/>
            </w:pPr>
            <w:r>
              <w:rPr>
                <w:b/>
              </w:rPr>
              <w:t xml:space="preserve">12,550</w:t>
            </w:r>
          </w:p>
        </w:tc>
        <w:tc>
          <w:p>
            <w:pPr>
              <w:pStyle w:val="Compact"/>
              <w:jc w:val="left"/>
            </w:pPr>
            <w:r>
              <w:rPr>
                <w:b/>
              </w:rPr>
              <w:t xml:space="preserve">3.5%</w:t>
            </w:r>
            <w:r>
              <w:t xml:space="preserve"> </w:t>
            </w:r>
            <w:r>
              <w:t xml:space="preserve">▲</w:t>
            </w:r>
          </w:p>
        </w:tc>
      </w:tr>
      <w:tr>
        <w:tc>
          <w:p>
            <w:pPr>
              <w:pStyle w:val="Compact"/>
              <w:jc w:val="left"/>
            </w:pPr>
            <w:r>
              <w:t xml:space="preserve">Carer Allowance</w:t>
            </w:r>
          </w:p>
        </w:tc>
        <w:tc>
          <w:p>
            <w:pPr>
              <w:pStyle w:val="Compact"/>
              <w:jc w:val="left"/>
            </w:pPr>
            <w:r>
              <w:t xml:space="preserve">11,245</w:t>
            </w:r>
          </w:p>
        </w:tc>
        <w:tc>
          <w:p>
            <w:pPr>
              <w:pStyle w:val="Compact"/>
              <w:jc w:val="left"/>
            </w:pPr>
            <w:r>
              <w:t xml:space="preserve">3.2%</w:t>
            </w:r>
          </w:p>
        </w:tc>
      </w:tr>
      <w:tr>
        <w:tc>
          <w:p>
            <w:pPr>
              <w:pStyle w:val="Compact"/>
              <w:jc w:val="left"/>
            </w:pPr>
            <w:r>
              <w:t xml:space="preserve">Parenting Payment Single</w:t>
            </w:r>
          </w:p>
        </w:tc>
        <w:tc>
          <w:p>
            <w:pPr>
              <w:pStyle w:val="Compact"/>
              <w:jc w:val="left"/>
            </w:pPr>
            <w:r>
              <w:t xml:space="preserve">5,965</w:t>
            </w:r>
          </w:p>
        </w:tc>
        <w:tc>
          <w:p>
            <w:pPr>
              <w:pStyle w:val="Compact"/>
              <w:jc w:val="left"/>
            </w:pPr>
            <w:r>
              <w:t xml:space="preserve">1.7%</w:t>
            </w:r>
          </w:p>
        </w:tc>
      </w:tr>
      <w:tr>
        <w:tc>
          <w:p>
            <w:pPr>
              <w:pStyle w:val="Compact"/>
              <w:jc w:val="left"/>
            </w:pPr>
            <w:r>
              <w:t xml:space="preserve">Youth Allowance (other)</w:t>
            </w:r>
          </w:p>
        </w:tc>
        <w:tc>
          <w:p>
            <w:pPr>
              <w:pStyle w:val="Compact"/>
              <w:jc w:val="left"/>
            </w:pPr>
            <w:r>
              <w:t xml:space="preserve">1,515</w:t>
            </w:r>
          </w:p>
        </w:tc>
        <w:tc>
          <w:p>
            <w:pPr>
              <w:pStyle w:val="Compact"/>
              <w:jc w:val="left"/>
            </w:pPr>
            <w:r>
              <w:t xml:space="preserve">0.4%</w:t>
            </w:r>
          </w:p>
        </w:tc>
      </w:tr>
    </w:tbl>
    <w:p>
      <w:pPr>
        <w:pStyle w:val="BodyText"/>
      </w:pPr>
      <w:r>
        <w:rPr>
          <w:b/>
        </w:rPr>
        <w:t xml:space="preserve">The most significant change this period is the 11.6% rise in JobSeeker recipients</w:t>
      </w:r>
      <w:r>
        <w:t xml:space="preserve"> </w:t>
      </w:r>
      <w:r>
        <w:t xml:space="preserve">- from 11,240 to 12,550. This is broadly consistent with the LGA-level unemployment snapshot (April 2026 rate of 4.8%, above the NSW average) and reflects a deteriorating labour market position, particularly in Wyong. Commonwealth Rent Assistance recipients have also risen sharply to 27,695 - a signal that more low-income households are now in private rentals under financial stress.</w:t>
      </w:r>
    </w:p>
    <w:p>
      <w:pPr>
        <w:pStyle w:val="BodyText"/>
      </w:pPr>
      <w:r>
        <w:rPr>
          <w:b/>
        </w:rPr>
        <w:t xml:space="preserve">DSP concentration:</w:t>
      </w:r>
      <w:r>
        <w:t xml:space="preserve"> </w:t>
      </w:r>
      <w:r>
        <w:t xml:space="preserve">Wyong SA3 carries</w:t>
      </w:r>
      <w:r>
        <w:t xml:space="preserve"> </w:t>
      </w:r>
      <w:r>
        <w:rPr>
          <w:b/>
        </w:rPr>
        <w:t xml:space="preserve">57% of all DSP recipients</w:t>
      </w:r>
      <w:r>
        <w:t xml:space="preserve"> </w:t>
      </w:r>
      <w:r>
        <w:t xml:space="preserve">(8,170 vs 6,160) despite having 49% of the population: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DSP Recipients</w:t>
            </w:r>
          </w:p>
        </w:tc>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DSP Rate</w:t>
            </w:r>
          </w:p>
        </w:tc>
      </w:tr>
      <w:tr>
        <w:tc>
          <w:p>
            <w:pPr>
              <w:pStyle w:val="Compact"/>
              <w:jc w:val="left"/>
            </w:pPr>
            <w:r>
              <w:t xml:space="preserve">Gorokan - Kanwal - Charmhaven</w:t>
            </w:r>
          </w:p>
        </w:tc>
        <w:tc>
          <w:p>
            <w:pPr>
              <w:pStyle w:val="Compact"/>
              <w:jc w:val="left"/>
            </w:pPr>
            <w:r>
              <w:t xml:space="preserve">1,520</w:t>
            </w:r>
          </w:p>
        </w:tc>
        <w:tc>
          <w:p>
            <w:pPr>
              <w:pStyle w:val="Compact"/>
              <w:jc w:val="left"/>
            </w:pPr>
            <w:r>
              <w:t xml:space="preserve">22,740</w:t>
            </w:r>
          </w:p>
        </w:tc>
        <w:tc>
          <w:p>
            <w:pPr>
              <w:pStyle w:val="Compact"/>
              <w:jc w:val="left"/>
            </w:pPr>
            <w:r>
              <w:t xml:space="preserve">6.7%</w:t>
            </w:r>
          </w:p>
        </w:tc>
      </w:tr>
      <w:tr>
        <w:tc>
          <w:p>
            <w:pPr>
              <w:pStyle w:val="Compact"/>
              <w:jc w:val="left"/>
            </w:pPr>
            <w:r>
              <w:t xml:space="preserve">Gosford - Springfield</w:t>
            </w:r>
          </w:p>
        </w:tc>
        <w:tc>
          <w:p>
            <w:pPr>
              <w:pStyle w:val="Compact"/>
              <w:jc w:val="left"/>
            </w:pPr>
            <w:r>
              <w:t xml:space="preserve">1,150</w:t>
            </w:r>
          </w:p>
        </w:tc>
        <w:tc>
          <w:p>
            <w:pPr>
              <w:pStyle w:val="Compact"/>
              <w:jc w:val="left"/>
            </w:pPr>
            <w:r>
              <w:t xml:space="preserve">22,599</w:t>
            </w:r>
          </w:p>
        </w:tc>
        <w:tc>
          <w:p>
            <w:pPr>
              <w:pStyle w:val="Compact"/>
              <w:jc w:val="left"/>
            </w:pPr>
            <w:r>
              <w:t xml:space="preserve">5.1%</w:t>
            </w:r>
          </w:p>
        </w:tc>
      </w:tr>
      <w:tr>
        <w:tc>
          <w:p>
            <w:pPr>
              <w:pStyle w:val="Compact"/>
              <w:jc w:val="left"/>
            </w:pPr>
            <w:r>
              <w:t xml:space="preserve">The Entrance</w:t>
            </w:r>
          </w:p>
        </w:tc>
        <w:tc>
          <w:p>
            <w:pPr>
              <w:pStyle w:val="Compact"/>
              <w:jc w:val="left"/>
            </w:pPr>
            <w:r>
              <w:t xml:space="preserve">920</w:t>
            </w:r>
          </w:p>
        </w:tc>
        <w:tc>
          <w:p>
            <w:pPr>
              <w:pStyle w:val="Compact"/>
              <w:jc w:val="left"/>
            </w:pPr>
            <w:r>
              <w:t xml:space="preserve">16,155</w:t>
            </w:r>
          </w:p>
        </w:tc>
        <w:tc>
          <w:p>
            <w:pPr>
              <w:pStyle w:val="Compact"/>
              <w:jc w:val="left"/>
            </w:pPr>
            <w:r>
              <w:t xml:space="preserve">5.7%</w:t>
            </w:r>
          </w:p>
        </w:tc>
      </w:tr>
      <w:tr>
        <w:tc>
          <w:p>
            <w:pPr>
              <w:pStyle w:val="Compact"/>
              <w:jc w:val="left"/>
            </w:pPr>
            <w:r>
              <w:t xml:space="preserve">Umina - Booker Bay - Patonga</w:t>
            </w:r>
          </w:p>
        </w:tc>
        <w:tc>
          <w:p>
            <w:pPr>
              <w:pStyle w:val="Compact"/>
              <w:jc w:val="left"/>
            </w:pPr>
            <w:r>
              <w:t xml:space="preserve">980</w:t>
            </w:r>
          </w:p>
        </w:tc>
        <w:tc>
          <w:p>
            <w:pPr>
              <w:pStyle w:val="Compact"/>
              <w:jc w:val="left"/>
            </w:pPr>
            <w:r>
              <w:t xml:space="preserve">25,007</w:t>
            </w:r>
          </w:p>
        </w:tc>
        <w:tc>
          <w:p>
            <w:pPr>
              <w:pStyle w:val="Compact"/>
              <w:jc w:val="left"/>
            </w:pPr>
            <w:r>
              <w:t xml:space="preserve">3.9%</w:t>
            </w:r>
          </w:p>
        </w:tc>
      </w:tr>
      <w:tr>
        <w:tc>
          <w:p>
            <w:pPr>
              <w:pStyle w:val="Compact"/>
              <w:jc w:val="left"/>
            </w:pPr>
            <w:r>
              <w:t xml:space="preserve">Bateau Bay - Killarney Vale</w:t>
            </w:r>
          </w:p>
        </w:tc>
        <w:tc>
          <w:p>
            <w:pPr>
              <w:pStyle w:val="Compact"/>
              <w:jc w:val="left"/>
            </w:pPr>
            <w:r>
              <w:t xml:space="preserve">915</w:t>
            </w:r>
          </w:p>
        </w:tc>
        <w:tc>
          <w:p>
            <w:pPr>
              <w:pStyle w:val="Compact"/>
              <w:jc w:val="left"/>
            </w:pPr>
            <w:r>
              <w:t xml:space="preserve">22,990</w:t>
            </w:r>
          </w:p>
        </w:tc>
        <w:tc>
          <w:p>
            <w:pPr>
              <w:pStyle w:val="Compact"/>
              <w:jc w:val="left"/>
            </w:pPr>
            <w:r>
              <w:t xml:space="preserve">4.0%</w:t>
            </w:r>
          </w:p>
        </w:tc>
      </w:tr>
    </w:tbl>
    <w:p>
      <w:pPr>
        <w:pStyle w:val="BodyText"/>
      </w:pPr>
      <w:r>
        <w:t xml:space="preserve">The correlation between high DSP rates and high unemployment suggests entrenched health-related barriers to workforce participation in disadvantaged suburbs - a trend that is not improving.</w:t>
      </w:r>
    </w:p>
    <w:p>
      <w:r>
        <w:pict>
          <v:rect style="width:0;height:1.5pt" o:hralign="center" o:hrstd="t" o:hr="t"/>
        </w:pict>
      </w:r>
    </w:p>
    <w:p>
      <w:pPr>
        <w:pStyle w:val="Heading2"/>
      </w:pPr>
      <w:bookmarkStart w:id="32" w:name="X5e05ed28122b8accf5ffdb369e35d21cc67e237"/>
      <w:r>
        <w:t xml:space="preserve">4. Socioeconomic Disadvantage (SEIFA Analysis)</w:t>
      </w:r>
      <w:bookmarkEnd w:id="32"/>
    </w:p>
    <w:p>
      <w:pPr>
        <w:pStyle w:val="Heading3"/>
      </w:pPr>
      <w:bookmarkStart w:id="33" w:name="most-and-least-disadvantaged-suburbs"/>
      <w:r>
        <w:t xml:space="preserve">4.1 Most and Least Disadvantaged Suburbs</w:t>
      </w:r>
      <w:bookmarkEnd w:id="33"/>
    </w:p>
    <w:p>
      <w:pPr>
        <w:pStyle w:val="FirstParagraph"/>
      </w:pPr>
      <w:r>
        <w:t xml:space="preserve">The SEIFA Index of Relative Socio-economic Disadvantage (IRSD) benchmarks at 1,000 nationally. Scores below 1,000 indicate relative disadvantage; scores above indicate relative advantage.</w:t>
      </w:r>
    </w:p>
    <w:p>
      <w:pPr>
        <w:pStyle w:val="BodyText"/>
      </w:pPr>
      <w:r>
        <w:rPr>
          <w:b/>
        </w:rPr>
        <w:t xml:space="preserve">Most disadvantaged suburbs (SEIFA-D &lt; 955 - significantly disadvantaged):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SEIFA-D</w:t>
            </w:r>
          </w:p>
        </w:tc>
        <w:tc>
          <w:tcPr>
            <w:tcBorders>
              <w:bottom w:val="single"/>
            </w:tcBorders>
            <w:vAlign w:val="bottom"/>
          </w:tcPr>
          <w:p>
            <w:pPr>
              <w:pStyle w:val="Compact"/>
              <w:jc w:val="left"/>
            </w:pPr>
            <w:r>
              <w:t xml:space="preserve">Weekly Income</w:t>
            </w:r>
          </w:p>
        </w:tc>
        <w:tc>
          <w:tcPr>
            <w:tcBorders>
              <w:bottom w:val="single"/>
            </w:tcBorders>
            <w:vAlign w:val="bottom"/>
          </w:tcPr>
          <w:p>
            <w:pPr>
              <w:pStyle w:val="Compact"/>
              <w:jc w:val="left"/>
            </w:pPr>
            <w:r>
              <w:t xml:space="preserve">Unemployment</w:t>
            </w:r>
          </w:p>
        </w:tc>
        <w:tc>
          <w:tcPr>
            <w:tcBorders>
              <w:bottom w:val="single"/>
            </w:tcBorders>
            <w:vAlign w:val="bottom"/>
          </w:tcPr>
          <w:p>
            <w:pPr>
              <w:pStyle w:val="Compact"/>
              <w:jc w:val="left"/>
            </w:pPr>
            <w:r>
              <w:t xml:space="preserve">Year 12 (%)</w:t>
            </w:r>
          </w:p>
        </w:tc>
        <w:tc>
          <w:tcPr>
            <w:tcBorders>
              <w:bottom w:val="single"/>
            </w:tcBorders>
            <w:vAlign w:val="bottom"/>
          </w:tcPr>
          <w:p>
            <w:pPr>
              <w:pStyle w:val="Compact"/>
              <w:jc w:val="left"/>
            </w:pPr>
            <w:r>
              <w:t xml:space="preserve">Bachelor (%)</w:t>
            </w:r>
          </w:p>
        </w:tc>
      </w:tr>
      <w:tr>
        <w:tc>
          <w:p>
            <w:pPr>
              <w:pStyle w:val="Compact"/>
              <w:jc w:val="left"/>
            </w:pPr>
            <w:r>
              <w:t xml:space="preserve">Wyong</w:t>
            </w:r>
          </w:p>
        </w:tc>
        <w:tc>
          <w:p>
            <w:pPr>
              <w:pStyle w:val="Compact"/>
              <w:jc w:val="left"/>
            </w:pPr>
            <w:r>
              <w:t xml:space="preserve">897.3</w:t>
            </w:r>
          </w:p>
        </w:tc>
        <w:tc>
          <w:p>
            <w:pPr>
              <w:pStyle w:val="Compact"/>
              <w:jc w:val="left"/>
            </w:pPr>
            <w:r>
              <w:t xml:space="preserve">$1,056</w:t>
            </w:r>
          </w:p>
        </w:tc>
        <w:tc>
          <w:p>
            <w:pPr>
              <w:pStyle w:val="Compact"/>
              <w:jc w:val="left"/>
            </w:pPr>
            <w:r>
              <w:t xml:space="preserve">8.1%</w:t>
            </w:r>
          </w:p>
        </w:tc>
        <w:tc>
          <w:p>
            <w:pPr>
              <w:pStyle w:val="Compact"/>
              <w:jc w:val="left"/>
            </w:pPr>
            <w:r>
              <w:t xml:space="preserve">27.2%</w:t>
            </w:r>
          </w:p>
        </w:tc>
        <w:tc>
          <w:p>
            <w:pPr>
              <w:pStyle w:val="Compact"/>
              <w:jc w:val="left"/>
            </w:pPr>
            <w:r>
              <w:t xml:space="preserve">5.5%</w:t>
            </w:r>
          </w:p>
        </w:tc>
      </w:tr>
      <w:tr>
        <w:tc>
          <w:p>
            <w:pPr>
              <w:pStyle w:val="Compact"/>
              <w:jc w:val="left"/>
            </w:pPr>
            <w:r>
              <w:t xml:space="preserve">Gorokan - Kanwal - Charmhaven</w:t>
            </w:r>
          </w:p>
        </w:tc>
        <w:tc>
          <w:p>
            <w:pPr>
              <w:pStyle w:val="Compact"/>
              <w:jc w:val="left"/>
            </w:pPr>
            <w:r>
              <w:t xml:space="preserve">917.4</w:t>
            </w:r>
          </w:p>
        </w:tc>
        <w:tc>
          <w:p>
            <w:pPr>
              <w:pStyle w:val="Compact"/>
              <w:jc w:val="left"/>
            </w:pPr>
            <w:r>
              <w:t xml:space="preserve">$1,051</w:t>
            </w:r>
          </w:p>
        </w:tc>
        <w:tc>
          <w:p>
            <w:pPr>
              <w:pStyle w:val="Compact"/>
              <w:jc w:val="left"/>
            </w:pPr>
            <w:r>
              <w:t xml:space="preserve">5.8%</w:t>
            </w:r>
          </w:p>
        </w:tc>
        <w:tc>
          <w:p>
            <w:pPr>
              <w:pStyle w:val="Compact"/>
              <w:jc w:val="left"/>
            </w:pPr>
            <w:r>
              <w:t xml:space="preserve">24.3%</w:t>
            </w:r>
          </w:p>
        </w:tc>
        <w:tc>
          <w:p>
            <w:pPr>
              <w:pStyle w:val="Compact"/>
              <w:jc w:val="left"/>
            </w:pPr>
            <w:r>
              <w:t xml:space="preserve">4.4%</w:t>
            </w:r>
          </w:p>
        </w:tc>
      </w:tr>
      <w:tr>
        <w:tc>
          <w:p>
            <w:pPr>
              <w:pStyle w:val="Compact"/>
              <w:jc w:val="left"/>
            </w:pPr>
            <w:r>
              <w:t xml:space="preserve">Blue Haven - San Remo</w:t>
            </w:r>
          </w:p>
        </w:tc>
        <w:tc>
          <w:p>
            <w:pPr>
              <w:pStyle w:val="Compact"/>
              <w:jc w:val="left"/>
            </w:pPr>
            <w:r>
              <w:t xml:space="preserve">920.1</w:t>
            </w:r>
          </w:p>
        </w:tc>
        <w:tc>
          <w:p>
            <w:pPr>
              <w:pStyle w:val="Compact"/>
              <w:jc w:val="left"/>
            </w:pPr>
            <w:r>
              <w:t xml:space="preserve">$1,250</w:t>
            </w:r>
          </w:p>
        </w:tc>
        <w:tc>
          <w:p>
            <w:pPr>
              <w:pStyle w:val="Compact"/>
              <w:jc w:val="left"/>
            </w:pPr>
            <w:r>
              <w:t xml:space="preserve">5.8%</w:t>
            </w:r>
          </w:p>
        </w:tc>
        <w:tc>
          <w:p>
            <w:pPr>
              <w:pStyle w:val="Compact"/>
              <w:jc w:val="left"/>
            </w:pPr>
            <w:r>
              <w:t xml:space="preserve">23.0%</w:t>
            </w:r>
          </w:p>
        </w:tc>
        <w:tc>
          <w:p>
            <w:pPr>
              <w:pStyle w:val="Compact"/>
              <w:jc w:val="left"/>
            </w:pPr>
            <w:r>
              <w:t xml:space="preserve">3.3%</w:t>
            </w:r>
          </w:p>
        </w:tc>
      </w:tr>
      <w:tr>
        <w:tc>
          <w:p>
            <w:pPr>
              <w:pStyle w:val="Compact"/>
              <w:jc w:val="left"/>
            </w:pPr>
            <w:r>
              <w:t xml:space="preserve">Toukley - Norah Head</w:t>
            </w:r>
          </w:p>
        </w:tc>
        <w:tc>
          <w:p>
            <w:pPr>
              <w:pStyle w:val="Compact"/>
              <w:jc w:val="left"/>
            </w:pPr>
            <w:r>
              <w:t xml:space="preserve">938.6</w:t>
            </w:r>
          </w:p>
        </w:tc>
        <w:tc>
          <w:p>
            <w:pPr>
              <w:pStyle w:val="Compact"/>
              <w:jc w:val="left"/>
            </w:pPr>
            <w:r>
              <w:t xml:space="preserve">$971</w:t>
            </w:r>
          </w:p>
        </w:tc>
        <w:tc>
          <w:p>
            <w:pPr>
              <w:pStyle w:val="Compact"/>
              <w:jc w:val="left"/>
            </w:pPr>
            <w:r>
              <w:t xml:space="preserve">5.4%</w:t>
            </w:r>
          </w:p>
        </w:tc>
        <w:tc>
          <w:p>
            <w:pPr>
              <w:pStyle w:val="Compact"/>
              <w:jc w:val="left"/>
            </w:pPr>
            <w:r>
              <w:t xml:space="preserve">24.5%</w:t>
            </w:r>
          </w:p>
        </w:tc>
        <w:tc>
          <w:p>
            <w:pPr>
              <w:pStyle w:val="Compact"/>
              <w:jc w:val="left"/>
            </w:pPr>
            <w:r>
              <w:t xml:space="preserve">5.5%</w:t>
            </w:r>
          </w:p>
        </w:tc>
      </w:tr>
      <w:tr>
        <w:tc>
          <w:p>
            <w:pPr>
              <w:pStyle w:val="Compact"/>
              <w:jc w:val="left"/>
            </w:pPr>
            <w:r>
              <w:t xml:space="preserve">The Entrance</w:t>
            </w:r>
          </w:p>
        </w:tc>
        <w:tc>
          <w:p>
            <w:pPr>
              <w:pStyle w:val="Compact"/>
              <w:jc w:val="left"/>
            </w:pPr>
            <w:r>
              <w:t xml:space="preserve">944.6</w:t>
            </w:r>
          </w:p>
        </w:tc>
        <w:tc>
          <w:p>
            <w:pPr>
              <w:pStyle w:val="Compact"/>
              <w:jc w:val="left"/>
            </w:pPr>
            <w:r>
              <w:t xml:space="preserve">$984</w:t>
            </w:r>
          </w:p>
        </w:tc>
        <w:tc>
          <w:p>
            <w:pPr>
              <w:pStyle w:val="Compact"/>
              <w:jc w:val="left"/>
            </w:pPr>
            <w:r>
              <w:t xml:space="preserve">5.6%</w:t>
            </w:r>
          </w:p>
        </w:tc>
        <w:tc>
          <w:p>
            <w:pPr>
              <w:pStyle w:val="Compact"/>
              <w:jc w:val="left"/>
            </w:pPr>
            <w:r>
              <w:t xml:space="preserve">29.1%</w:t>
            </w:r>
          </w:p>
        </w:tc>
        <w:tc>
          <w:p>
            <w:pPr>
              <w:pStyle w:val="Compact"/>
              <w:jc w:val="left"/>
            </w:pPr>
            <w:r>
              <w:t xml:space="preserve">7.1%</w:t>
            </w:r>
          </w:p>
        </w:tc>
      </w:tr>
      <w:tr>
        <w:tc>
          <w:p>
            <w:pPr>
              <w:pStyle w:val="Compact"/>
              <w:jc w:val="left"/>
            </w:pPr>
            <w:r>
              <w:t xml:space="preserve">Woy Woy - Blackwall</w:t>
            </w:r>
          </w:p>
        </w:tc>
        <w:tc>
          <w:p>
            <w:pPr>
              <w:pStyle w:val="Compact"/>
              <w:jc w:val="left"/>
            </w:pPr>
            <w:r>
              <w:t xml:space="preserve">950.8</w:t>
            </w:r>
          </w:p>
        </w:tc>
        <w:tc>
          <w:p>
            <w:pPr>
              <w:pStyle w:val="Compact"/>
              <w:jc w:val="left"/>
            </w:pPr>
            <w:r>
              <w:t xml:space="preserve">$1,040</w:t>
            </w:r>
          </w:p>
        </w:tc>
        <w:tc>
          <w:p>
            <w:pPr>
              <w:pStyle w:val="Compact"/>
              <w:jc w:val="left"/>
            </w:pPr>
            <w:r>
              <w:t xml:space="preserve">5.1%</w:t>
            </w:r>
          </w:p>
        </w:tc>
        <w:tc>
          <w:p>
            <w:pPr>
              <w:pStyle w:val="Compact"/>
              <w:jc w:val="left"/>
            </w:pPr>
            <w:r>
              <w:t xml:space="preserve">32.3%</w:t>
            </w:r>
          </w:p>
        </w:tc>
        <w:tc>
          <w:p>
            <w:pPr>
              <w:pStyle w:val="Compact"/>
              <w:jc w:val="left"/>
            </w:pPr>
            <w:r>
              <w:t xml:space="preserve">7.8%</w:t>
            </w:r>
          </w:p>
        </w:tc>
      </w:tr>
      <w:tr>
        <w:tc>
          <w:p>
            <w:pPr>
              <w:pStyle w:val="Compact"/>
              <w:jc w:val="left"/>
            </w:pPr>
            <w:r>
              <w:t xml:space="preserve">Lake Munmorah - Mannering Park</w:t>
            </w:r>
          </w:p>
        </w:tc>
        <w:tc>
          <w:p>
            <w:pPr>
              <w:pStyle w:val="Compact"/>
              <w:jc w:val="left"/>
            </w:pPr>
            <w:r>
              <w:t xml:space="preserve">951.7</w:t>
            </w:r>
          </w:p>
        </w:tc>
        <w:tc>
          <w:p>
            <w:pPr>
              <w:pStyle w:val="Compact"/>
              <w:jc w:val="left"/>
            </w:pPr>
            <w:r>
              <w:t xml:space="preserve">$977</w:t>
            </w:r>
          </w:p>
        </w:tc>
        <w:tc>
          <w:p>
            <w:pPr>
              <w:pStyle w:val="Compact"/>
              <w:jc w:val="left"/>
            </w:pPr>
            <w:r>
              <w:t xml:space="preserve">4.2%</w:t>
            </w:r>
          </w:p>
        </w:tc>
        <w:tc>
          <w:p>
            <w:pPr>
              <w:pStyle w:val="Compact"/>
              <w:jc w:val="left"/>
            </w:pPr>
            <w:r>
              <w:t xml:space="preserve">22.9%</w:t>
            </w:r>
          </w:p>
        </w:tc>
        <w:tc>
          <w:p>
            <w:pPr>
              <w:pStyle w:val="Compact"/>
              <w:jc w:val="left"/>
            </w:pPr>
            <w:r>
              <w:t xml:space="preserve">4.7%</w:t>
            </w:r>
          </w:p>
        </w:tc>
      </w:tr>
      <w:tr>
        <w:tc>
          <w:p>
            <w:pPr>
              <w:pStyle w:val="Compact"/>
              <w:jc w:val="left"/>
            </w:pPr>
            <w:r>
              <w:t xml:space="preserve">Budgewoi - Buff Point - Halekulani</w:t>
            </w:r>
          </w:p>
        </w:tc>
        <w:tc>
          <w:p>
            <w:pPr>
              <w:pStyle w:val="Compact"/>
              <w:jc w:val="left"/>
            </w:pPr>
            <w:r>
              <w:t xml:space="preserve">953.6</w:t>
            </w:r>
          </w:p>
        </w:tc>
        <w:tc>
          <w:p>
            <w:pPr>
              <w:pStyle w:val="Compact"/>
              <w:jc w:val="left"/>
            </w:pPr>
            <w:r>
              <w:t xml:space="preserve">$1,005</w:t>
            </w:r>
          </w:p>
        </w:tc>
        <w:tc>
          <w:p>
            <w:pPr>
              <w:pStyle w:val="Compact"/>
              <w:jc w:val="left"/>
            </w:pPr>
            <w:r>
              <w:t xml:space="preserve">4.7%</w:t>
            </w:r>
          </w:p>
        </w:tc>
        <w:tc>
          <w:p>
            <w:pPr>
              <w:pStyle w:val="Compact"/>
              <w:jc w:val="left"/>
            </w:pPr>
            <w:r>
              <w:t xml:space="preserve">24.1%</w:t>
            </w:r>
          </w:p>
        </w:tc>
        <w:tc>
          <w:p>
            <w:pPr>
              <w:pStyle w:val="Compact"/>
              <w:jc w:val="left"/>
            </w:pPr>
            <w:r>
              <w:t xml:space="preserve">4.8%</w:t>
            </w:r>
          </w:p>
        </w:tc>
      </w:tr>
    </w:tbl>
    <w:p>
      <w:pPr>
        <w:pStyle w:val="BodyText"/>
      </w:pPr>
      <w:r>
        <w:rPr>
          <w:b/>
        </w:rPr>
        <w:t xml:space="preserve">Least disadvantaged suburbs (SEIFA-D &gt; 1,060 - relatively advantaged):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SEIFA-D</w:t>
            </w:r>
          </w:p>
        </w:tc>
        <w:tc>
          <w:tcPr>
            <w:tcBorders>
              <w:bottom w:val="single"/>
            </w:tcBorders>
            <w:vAlign w:val="bottom"/>
          </w:tcPr>
          <w:p>
            <w:pPr>
              <w:pStyle w:val="Compact"/>
              <w:jc w:val="left"/>
            </w:pPr>
            <w:r>
              <w:t xml:space="preserve">Weekly Income</w:t>
            </w:r>
          </w:p>
        </w:tc>
        <w:tc>
          <w:tcPr>
            <w:tcBorders>
              <w:bottom w:val="single"/>
            </w:tcBorders>
            <w:vAlign w:val="bottom"/>
          </w:tcPr>
          <w:p>
            <w:pPr>
              <w:pStyle w:val="Compact"/>
              <w:jc w:val="left"/>
            </w:pPr>
            <w:r>
              <w:t xml:space="preserve">Unemployment</w:t>
            </w:r>
          </w:p>
        </w:tc>
        <w:tc>
          <w:tcPr>
            <w:tcBorders>
              <w:bottom w:val="single"/>
            </w:tcBorders>
            <w:vAlign w:val="bottom"/>
          </w:tcPr>
          <w:p>
            <w:pPr>
              <w:pStyle w:val="Compact"/>
              <w:jc w:val="left"/>
            </w:pPr>
            <w:r>
              <w:t xml:space="preserve">Year 12 (%)</w:t>
            </w:r>
          </w:p>
        </w:tc>
        <w:tc>
          <w:tcPr>
            <w:tcBorders>
              <w:bottom w:val="single"/>
            </w:tcBorders>
            <w:vAlign w:val="bottom"/>
          </w:tcPr>
          <w:p>
            <w:pPr>
              <w:pStyle w:val="Compact"/>
              <w:jc w:val="left"/>
            </w:pPr>
            <w:r>
              <w:t xml:space="preserve">Bachelor (%)</w:t>
            </w:r>
          </w:p>
        </w:tc>
      </w:tr>
      <w:tr>
        <w:tc>
          <w:p>
            <w:pPr>
              <w:pStyle w:val="Compact"/>
              <w:jc w:val="left"/>
            </w:pPr>
            <w:r>
              <w:t xml:space="preserve">Wamberal - Forresters Beach</w:t>
            </w:r>
          </w:p>
        </w:tc>
        <w:tc>
          <w:p>
            <w:pPr>
              <w:pStyle w:val="Compact"/>
              <w:jc w:val="left"/>
            </w:pPr>
            <w:r>
              <w:t xml:space="preserve">1,080.7</w:t>
            </w:r>
          </w:p>
        </w:tc>
        <w:tc>
          <w:p>
            <w:pPr>
              <w:pStyle w:val="Compact"/>
              <w:jc w:val="left"/>
            </w:pPr>
            <w:r>
              <w:t xml:space="preserve">$1,852</w:t>
            </w:r>
          </w:p>
        </w:tc>
        <w:tc>
          <w:p>
            <w:pPr>
              <w:pStyle w:val="Compact"/>
              <w:jc w:val="left"/>
            </w:pPr>
            <w:r>
              <w:t xml:space="preserve">1.4%</w:t>
            </w:r>
          </w:p>
        </w:tc>
        <w:tc>
          <w:p>
            <w:pPr>
              <w:pStyle w:val="Compact"/>
              <w:jc w:val="left"/>
            </w:pPr>
            <w:r>
              <w:t xml:space="preserve">41.2%</w:t>
            </w:r>
          </w:p>
        </w:tc>
        <w:tc>
          <w:p>
            <w:pPr>
              <w:pStyle w:val="Compact"/>
              <w:jc w:val="left"/>
            </w:pPr>
            <w:r>
              <w:t xml:space="preserve">13.4%</w:t>
            </w:r>
          </w:p>
        </w:tc>
      </w:tr>
      <w:tr>
        <w:tc>
          <w:p>
            <w:pPr>
              <w:pStyle w:val="Compact"/>
              <w:jc w:val="left"/>
            </w:pPr>
            <w:r>
              <w:t xml:space="preserve">Avoca Beach - Copacabana</w:t>
            </w:r>
          </w:p>
        </w:tc>
        <w:tc>
          <w:p>
            <w:pPr>
              <w:pStyle w:val="Compact"/>
              <w:jc w:val="left"/>
            </w:pPr>
            <w:r>
              <w:t xml:space="preserve">1,079.3</w:t>
            </w:r>
          </w:p>
        </w:tc>
        <w:tc>
          <w:p>
            <w:pPr>
              <w:pStyle w:val="Compact"/>
              <w:jc w:val="left"/>
            </w:pPr>
            <w:r>
              <w:t xml:space="preserve">$1,869</w:t>
            </w:r>
          </w:p>
        </w:tc>
        <w:tc>
          <w:p>
            <w:pPr>
              <w:pStyle w:val="Compact"/>
              <w:jc w:val="left"/>
            </w:pPr>
            <w:r>
              <w:t xml:space="preserve">1.1%</w:t>
            </w:r>
          </w:p>
        </w:tc>
        <w:tc>
          <w:p>
            <w:pPr>
              <w:pStyle w:val="Compact"/>
              <w:jc w:val="left"/>
            </w:pPr>
            <w:r>
              <w:t xml:space="preserve">44.5%</w:t>
            </w:r>
          </w:p>
        </w:tc>
        <w:tc>
          <w:p>
            <w:pPr>
              <w:pStyle w:val="Compact"/>
              <w:jc w:val="left"/>
            </w:pPr>
            <w:r>
              <w:t xml:space="preserve">14.7%</w:t>
            </w:r>
          </w:p>
        </w:tc>
      </w:tr>
      <w:tr>
        <w:tc>
          <w:p>
            <w:pPr>
              <w:pStyle w:val="Compact"/>
              <w:jc w:val="left"/>
            </w:pPr>
            <w:r>
              <w:t xml:space="preserve">Terrigal - North Avoca</w:t>
            </w:r>
          </w:p>
        </w:tc>
        <w:tc>
          <w:p>
            <w:pPr>
              <w:pStyle w:val="Compact"/>
              <w:jc w:val="left"/>
            </w:pPr>
            <w:r>
              <w:t xml:space="preserve">1,077.7</w:t>
            </w:r>
          </w:p>
        </w:tc>
        <w:tc>
          <w:p>
            <w:pPr>
              <w:pStyle w:val="Compact"/>
              <w:jc w:val="left"/>
            </w:pPr>
            <w:r>
              <w:t xml:space="preserve">$1,760</w:t>
            </w:r>
          </w:p>
        </w:tc>
        <w:tc>
          <w:p>
            <w:pPr>
              <w:pStyle w:val="Compact"/>
              <w:jc w:val="left"/>
            </w:pPr>
            <w:r>
              <w:t xml:space="preserve">1.3%</w:t>
            </w:r>
          </w:p>
        </w:tc>
        <w:tc>
          <w:p>
            <w:pPr>
              <w:pStyle w:val="Compact"/>
              <w:jc w:val="left"/>
            </w:pPr>
            <w:r>
              <w:t xml:space="preserve">45.5%</w:t>
            </w:r>
          </w:p>
        </w:tc>
        <w:tc>
          <w:p>
            <w:pPr>
              <w:pStyle w:val="Compact"/>
              <w:jc w:val="left"/>
            </w:pPr>
            <w:r>
              <w:t xml:space="preserve">15.0%</w:t>
            </w:r>
          </w:p>
        </w:tc>
      </w:tr>
      <w:tr>
        <w:tc>
          <w:p>
            <w:pPr>
              <w:pStyle w:val="Compact"/>
              <w:jc w:val="left"/>
            </w:pPr>
            <w:r>
              <w:t xml:space="preserve">Box Head - MacMasters Beach</w:t>
            </w:r>
          </w:p>
        </w:tc>
        <w:tc>
          <w:p>
            <w:pPr>
              <w:pStyle w:val="Compact"/>
              <w:jc w:val="left"/>
            </w:pPr>
            <w:r>
              <w:t xml:space="preserve">1,064.0</w:t>
            </w:r>
          </w:p>
        </w:tc>
        <w:tc>
          <w:p>
            <w:pPr>
              <w:pStyle w:val="Compact"/>
              <w:jc w:val="left"/>
            </w:pPr>
            <w:r>
              <w:t xml:space="preserve">$1,412</w:t>
            </w:r>
          </w:p>
        </w:tc>
        <w:tc>
          <w:p>
            <w:pPr>
              <w:pStyle w:val="Compact"/>
              <w:jc w:val="left"/>
            </w:pPr>
            <w:r>
              <w:t xml:space="preserve">1.3%</w:t>
            </w:r>
          </w:p>
        </w:tc>
        <w:tc>
          <w:p>
            <w:pPr>
              <w:pStyle w:val="Compact"/>
              <w:jc w:val="left"/>
            </w:pPr>
            <w:r>
              <w:t xml:space="preserve">40.0%</w:t>
            </w:r>
          </w:p>
        </w:tc>
        <w:tc>
          <w:p>
            <w:pPr>
              <w:pStyle w:val="Compact"/>
              <w:jc w:val="left"/>
            </w:pPr>
            <w:r>
              <w:t xml:space="preserve">11.9%</w:t>
            </w:r>
          </w:p>
        </w:tc>
      </w:tr>
      <w:tr>
        <w:tc>
          <w:p>
            <w:pPr>
              <w:pStyle w:val="Compact"/>
              <w:jc w:val="left"/>
            </w:pPr>
            <w:r>
              <w:t xml:space="preserve">Jilliby - Yarramalong</w:t>
            </w:r>
          </w:p>
        </w:tc>
        <w:tc>
          <w:p>
            <w:pPr>
              <w:pStyle w:val="Compact"/>
              <w:jc w:val="left"/>
            </w:pPr>
            <w:r>
              <w:t xml:space="preserve">1,060.2</w:t>
            </w:r>
          </w:p>
        </w:tc>
        <w:tc>
          <w:p>
            <w:pPr>
              <w:pStyle w:val="Compact"/>
              <w:jc w:val="left"/>
            </w:pPr>
            <w:r>
              <w:t xml:space="preserve">$1,942</w:t>
            </w:r>
          </w:p>
        </w:tc>
        <w:tc>
          <w:p>
            <w:pPr>
              <w:pStyle w:val="Compact"/>
              <w:jc w:val="left"/>
            </w:pPr>
            <w:r>
              <w:t xml:space="preserve">3.2%</w:t>
            </w:r>
          </w:p>
        </w:tc>
        <w:tc>
          <w:p>
            <w:pPr>
              <w:pStyle w:val="Compact"/>
              <w:jc w:val="left"/>
            </w:pPr>
            <w:r>
              <w:t xml:space="preserve">35.6%</w:t>
            </w:r>
          </w:p>
        </w:tc>
        <w:tc>
          <w:p>
            <w:pPr>
              <w:pStyle w:val="Compact"/>
              <w:jc w:val="left"/>
            </w:pPr>
            <w:r>
              <w:t xml:space="preserve">9.7%</w:t>
            </w:r>
          </w:p>
        </w:tc>
      </w:tr>
    </w:tbl>
    <w:p>
      <w:pPr>
        <w:pStyle w:val="BodyText"/>
      </w:pPr>
      <w:r>
        <w:rPr>
          <w:b/>
        </w:rPr>
        <w:t xml:space="preserve">The income gap between most and least disadvantaged suburbs is $971/wk</w:t>
      </w:r>
      <w:r>
        <w:t xml:space="preserve"> </w:t>
      </w:r>
      <w:r>
        <w:t xml:space="preserve">(Toukley-Norah Head at $971 vs Jilliby-Yarramalong at $1,942). Residents in disadvantaged suburbs earn</w:t>
      </w:r>
      <w:r>
        <w:t xml:space="preserve"> </w:t>
      </w:r>
      <w:r>
        <w:rPr>
          <w:b/>
        </w:rPr>
        <w:t xml:space="preserve">less than half</w:t>
      </w:r>
      <w:r>
        <w:t xml:space="preserve"> </w:t>
      </w:r>
      <w:r>
        <w:t xml:space="preserve">of what residents in advantaged suburbs earn - a gap that compounds through housing costs, educational opportunity, and intergenerational mobility.</w:t>
      </w:r>
    </w:p>
    <w:p>
      <w:pPr>
        <w:pStyle w:val="Heading3"/>
      </w:pPr>
      <w:bookmarkStart w:id="34" w:name="spatial-clustering-of-disadvantage"/>
      <w:r>
        <w:t xml:space="preserve">4.2 Spatial Clustering of Disadvantage</w:t>
      </w:r>
      <w:bookmarkEnd w:id="34"/>
    </w:p>
    <w:p>
      <w:pPr>
        <w:pStyle w:val="FirstParagraph"/>
      </w:pPr>
      <w:r>
        <w:t xml:space="preserve">The eight most disadvantaged suburbs (SEIFA-D &lt; 955) form a</w:t>
      </w:r>
      <w:r>
        <w:t xml:space="preserve"> </w:t>
      </w:r>
      <w:r>
        <w:rPr>
          <w:b/>
        </w:rPr>
        <w:t xml:space="preserve">continuous geographic corridor</w:t>
      </w:r>
      <w:r>
        <w:t xml:space="preserve"> </w:t>
      </w:r>
      <w:r>
        <w:t xml:space="preserve">through northern Wyong:</w:t>
      </w:r>
    </w:p>
    <w:p>
      <w:pPr>
        <w:pStyle w:val="SourceCode"/>
      </w:pPr>
      <w:r>
        <w:rPr>
          <w:rStyle w:val="VerbatimChar"/>
        </w:rPr>
        <w:t xml:space="preserve">Wyong → Gorokan → Blue Haven → Toukley → The Entrance → Budgewoi → Lake Munmorah</w:t>
      </w:r>
      <w:r>
        <w:br/>
      </w:r>
      <w:r>
        <w:rPr>
          <w:rStyle w:val="VerbatimChar"/>
        </w:rPr>
        <w:t xml:space="preserve">                                    ↓</w:t>
      </w:r>
      <w:r>
        <w:br/>
      </w:r>
      <w:r>
        <w:rPr>
          <w:rStyle w:val="VerbatimChar"/>
        </w:rPr>
        <w:t xml:space="preserve">                              Woy Woy (Gosford outlier)</w:t>
      </w:r>
    </w:p>
    <w:p>
      <w:pPr>
        <w:pStyle w:val="FirstParagraph"/>
      </w:pPr>
      <w:r>
        <w:t xml:space="preserve">This spatial clustering reflects historical patterns of social housing allocation, distance from employment centres, lower land values attracting lower-income households, and self-reinforcing cycles of underinvestment. The rising JobSeeker and CRA figures confirm this corridor is not recovering - it is deepening in disadvantage relative to the broader LGA.</w:t>
      </w:r>
    </w:p>
    <w:p>
      <w:pPr>
        <w:pStyle w:val="BodyText"/>
      </w:pPr>
      <w:r>
        <w:rPr>
          <w:b/>
        </w:rPr>
        <w:t xml:space="preserve">Policy implication:</w:t>
      </w:r>
      <w:r>
        <w:t xml:space="preserve"> </w:t>
      </w:r>
      <w:r>
        <w:t xml:space="preserve">Dispersed, individual-focused interventions will be insufficient. Area-based place-making investment is required - targeting the entire corridor with coordinated employment, education, transport, and housing interventions.</w:t>
      </w:r>
    </w:p>
    <w:p>
      <w:r>
        <w:pict>
          <v:rect style="width:0;height:1.5pt" o:hralign="center" o:hrstd="t" o:hr="t"/>
        </w:pict>
      </w:r>
    </w:p>
    <w:p>
      <w:pPr>
        <w:pStyle w:val="Heading2"/>
      </w:pPr>
      <w:bookmarkStart w:id="35" w:name="demographics-population"/>
      <w:r>
        <w:t xml:space="preserve">5. Demographics &amp; Population</w:t>
      </w:r>
      <w:bookmarkEnd w:id="35"/>
    </w:p>
    <w:p>
      <w:pPr>
        <w:pStyle w:val="Heading3"/>
      </w:pPr>
      <w:bookmarkStart w:id="36" w:name="population-distribution"/>
      <w:r>
        <w:t xml:space="preserve">5.1 Population Distribution</w:t>
      </w:r>
      <w:bookmarkEnd w:id="36"/>
    </w:p>
    <w:p>
      <w:pPr>
        <w:pStyle w:val="FirstParagraph"/>
      </w:pPr>
      <w:r>
        <w:rPr>
          <w:b/>
        </w:rPr>
        <w:t xml:space="preserve">Five largest suburbs by population: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 of LGA</w:t>
            </w:r>
          </w:p>
        </w:tc>
      </w:tr>
      <w:tr>
        <w:tc>
          <w:p>
            <w:pPr>
              <w:pStyle w:val="Compact"/>
              <w:jc w:val="left"/>
            </w:pPr>
            <w:r>
              <w:t xml:space="preserve">Umina - Booker Bay - Patonga</w:t>
            </w:r>
          </w:p>
        </w:tc>
        <w:tc>
          <w:p>
            <w:pPr>
              <w:pStyle w:val="Compact"/>
              <w:jc w:val="left"/>
            </w:pPr>
            <w:r>
              <w:t xml:space="preserve">25,007</w:t>
            </w:r>
          </w:p>
        </w:tc>
        <w:tc>
          <w:p>
            <w:pPr>
              <w:pStyle w:val="Compact"/>
              <w:jc w:val="left"/>
            </w:pPr>
            <w:r>
              <w:t xml:space="preserve">Gosford</w:t>
            </w:r>
          </w:p>
        </w:tc>
        <w:tc>
          <w:p>
            <w:pPr>
              <w:pStyle w:val="Compact"/>
              <w:jc w:val="left"/>
            </w:pPr>
            <w:r>
              <w:t xml:space="preserve">7.0%</w:t>
            </w:r>
          </w:p>
        </w:tc>
      </w:tr>
      <w:tr>
        <w:tc>
          <w:p>
            <w:pPr>
              <w:pStyle w:val="Compact"/>
              <w:jc w:val="left"/>
            </w:pPr>
            <w:r>
              <w:t xml:space="preserve">Bateau Bay - Killarney Vale</w:t>
            </w:r>
          </w:p>
        </w:tc>
        <w:tc>
          <w:p>
            <w:pPr>
              <w:pStyle w:val="Compact"/>
              <w:jc w:val="left"/>
            </w:pPr>
            <w:r>
              <w:t xml:space="preserve">22,990</w:t>
            </w:r>
          </w:p>
        </w:tc>
        <w:tc>
          <w:p>
            <w:pPr>
              <w:pStyle w:val="Compact"/>
              <w:jc w:val="left"/>
            </w:pPr>
            <w:r>
              <w:t xml:space="preserve">Wyong</w:t>
            </w:r>
          </w:p>
        </w:tc>
        <w:tc>
          <w:p>
            <w:pPr>
              <w:pStyle w:val="Compact"/>
              <w:jc w:val="left"/>
            </w:pPr>
            <w:r>
              <w:t xml:space="preserve">6.5%</w:t>
            </w:r>
          </w:p>
        </w:tc>
      </w:tr>
      <w:tr>
        <w:tc>
          <w:p>
            <w:pPr>
              <w:pStyle w:val="Compact"/>
              <w:jc w:val="left"/>
            </w:pPr>
            <w:r>
              <w:t xml:space="preserve">Gorokan - Kanwal - Charmhaven</w:t>
            </w:r>
          </w:p>
        </w:tc>
        <w:tc>
          <w:p>
            <w:pPr>
              <w:pStyle w:val="Compact"/>
              <w:jc w:val="left"/>
            </w:pPr>
            <w:r>
              <w:t xml:space="preserve">22,740</w:t>
            </w:r>
          </w:p>
        </w:tc>
        <w:tc>
          <w:p>
            <w:pPr>
              <w:pStyle w:val="Compact"/>
              <w:jc w:val="left"/>
            </w:pPr>
            <w:r>
              <w:t xml:space="preserve">Wyong</w:t>
            </w:r>
          </w:p>
        </w:tc>
        <w:tc>
          <w:p>
            <w:pPr>
              <w:pStyle w:val="Compact"/>
              <w:jc w:val="left"/>
            </w:pPr>
            <w:r>
              <w:t xml:space="preserve">6.4%</w:t>
            </w:r>
          </w:p>
        </w:tc>
      </w:tr>
      <w:tr>
        <w:tc>
          <w:p>
            <w:pPr>
              <w:pStyle w:val="Compact"/>
              <w:jc w:val="left"/>
            </w:pPr>
            <w:r>
              <w:t xml:space="preserve">Gosford - Springfield</w:t>
            </w:r>
          </w:p>
        </w:tc>
        <w:tc>
          <w:p>
            <w:pPr>
              <w:pStyle w:val="Compact"/>
              <w:jc w:val="left"/>
            </w:pPr>
            <w:r>
              <w:t xml:space="preserve">22,599</w:t>
            </w:r>
          </w:p>
        </w:tc>
        <w:tc>
          <w:p>
            <w:pPr>
              <w:pStyle w:val="Compact"/>
              <w:jc w:val="left"/>
            </w:pPr>
            <w:r>
              <w:t xml:space="preserve">Gosford</w:t>
            </w:r>
          </w:p>
        </w:tc>
        <w:tc>
          <w:p>
            <w:pPr>
              <w:pStyle w:val="Compact"/>
              <w:jc w:val="left"/>
            </w:pPr>
            <w:r>
              <w:t xml:space="preserve">6.4%</w:t>
            </w:r>
          </w:p>
        </w:tc>
      </w:tr>
      <w:tr>
        <w:tc>
          <w:p>
            <w:pPr>
              <w:pStyle w:val="Compact"/>
              <w:jc w:val="left"/>
            </w:pPr>
            <w:r>
              <w:t xml:space="preserve">Warnervale - Wadalba</w:t>
            </w:r>
          </w:p>
        </w:tc>
        <w:tc>
          <w:p>
            <w:pPr>
              <w:pStyle w:val="Compact"/>
              <w:jc w:val="left"/>
            </w:pPr>
            <w:r>
              <w:t xml:space="preserve">22,353</w:t>
            </w:r>
          </w:p>
        </w:tc>
        <w:tc>
          <w:p>
            <w:pPr>
              <w:pStyle w:val="Compact"/>
              <w:jc w:val="left"/>
            </w:pPr>
            <w:r>
              <w:t xml:space="preserve">Wyong</w:t>
            </w:r>
          </w:p>
        </w:tc>
        <w:tc>
          <w:p>
            <w:pPr>
              <w:pStyle w:val="Compact"/>
              <w:jc w:val="left"/>
            </w:pPr>
            <w:r>
              <w:t xml:space="preserve">6.3%</w:t>
            </w:r>
          </w:p>
        </w:tc>
      </w:tr>
    </w:tbl>
    <w:p>
      <w:pPr>
        <w:pStyle w:val="BodyText"/>
      </w:pPr>
      <w:r>
        <w:t xml:space="preserve">These five suburbs account for</w:t>
      </w:r>
      <w:r>
        <w:t xml:space="preserve"> </w:t>
      </w:r>
      <w:r>
        <w:rPr>
          <w:b/>
        </w:rPr>
        <w:t xml:space="preserve">32.6% of total LGA population</w:t>
      </w:r>
      <w:r>
        <w:t xml:space="preserve"> </w:t>
      </w:r>
      <w:r>
        <w:t xml:space="preserve">- a relatively dispersed settlement pattern without extreme population concentration.</w:t>
      </w:r>
    </w:p>
    <w:p>
      <w:pPr>
        <w:pStyle w:val="Heading3"/>
      </w:pPr>
      <w:bookmarkStart w:id="37" w:name="population-growth-dynamics"/>
      <w:r>
        <w:t xml:space="preserve">5.2 Population Growth Dynamics</w:t>
      </w:r>
      <w:bookmarkEnd w:id="37"/>
    </w:p>
    <w:p>
      <w:pPr>
        <w:pStyle w:val="FirstParagraph"/>
      </w:pPr>
      <w:r>
        <w:t xml:space="preserve">The LGA gained</w:t>
      </w:r>
      <w:r>
        <w:t xml:space="preserve"> </w:t>
      </w:r>
      <w:r>
        <w:rPr>
          <w:b/>
        </w:rPr>
        <w:t xml:space="preserve">2,903 residents</w:t>
      </w:r>
      <w:r>
        <w:t xml:space="preserve"> </w:t>
      </w:r>
      <w:r>
        <w:t xml:space="preserve">in 2023-24. Growth drivers vary significantly by suburb:</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Total Growth</w:t>
            </w:r>
          </w:p>
        </w:tc>
        <w:tc>
          <w:tcPr>
            <w:tcBorders>
              <w:bottom w:val="single"/>
            </w:tcBorders>
            <w:vAlign w:val="bottom"/>
          </w:tcPr>
          <w:p>
            <w:pPr>
              <w:pStyle w:val="Compact"/>
              <w:jc w:val="left"/>
            </w:pPr>
            <w:r>
              <w:t xml:space="preserve">Internal Migration</w:t>
            </w:r>
          </w:p>
        </w:tc>
        <w:tc>
          <w:tcPr>
            <w:tcBorders>
              <w:bottom w:val="single"/>
            </w:tcBorders>
            <w:vAlign w:val="bottom"/>
          </w:tcPr>
          <w:p>
            <w:pPr>
              <w:pStyle w:val="Compact"/>
              <w:jc w:val="left"/>
            </w:pPr>
            <w:r>
              <w:t xml:space="preserve">Overseas Migration</w:t>
            </w:r>
          </w:p>
        </w:tc>
        <w:tc>
          <w:tcPr>
            <w:tcBorders>
              <w:bottom w:val="single"/>
            </w:tcBorders>
            <w:vAlign w:val="bottom"/>
          </w:tcPr>
          <w:p>
            <w:pPr>
              <w:pStyle w:val="Compact"/>
              <w:jc w:val="left"/>
            </w:pPr>
            <w:r>
              <w:t xml:space="preserve">Growth Driver</w:t>
            </w:r>
          </w:p>
        </w:tc>
      </w:tr>
      <w:tr>
        <w:tc>
          <w:p>
            <w:pPr>
              <w:pStyle w:val="Compact"/>
              <w:jc w:val="left"/>
            </w:pPr>
            <w:r>
              <w:t xml:space="preserve">Warnervale - Wadalba</w:t>
            </w:r>
          </w:p>
        </w:tc>
        <w:tc>
          <w:p>
            <w:pPr>
              <w:pStyle w:val="Compact"/>
              <w:jc w:val="left"/>
            </w:pPr>
            <w:r>
              <w:t xml:space="preserve">+650</w:t>
            </w:r>
          </w:p>
        </w:tc>
        <w:tc>
          <w:p>
            <w:pPr>
              <w:pStyle w:val="Compact"/>
              <w:jc w:val="left"/>
            </w:pPr>
            <w:r>
              <w:t xml:space="preserve">+469</w:t>
            </w:r>
          </w:p>
        </w:tc>
        <w:tc>
          <w:p>
            <w:pPr>
              <w:pStyle w:val="Compact"/>
              <w:jc w:val="left"/>
            </w:pPr>
            <w:r>
              <w:t xml:space="preserve">+122</w:t>
            </w:r>
          </w:p>
        </w:tc>
        <w:tc>
          <w:p>
            <w:pPr>
              <w:pStyle w:val="Compact"/>
              <w:jc w:val="left"/>
            </w:pPr>
            <w:r>
              <w:t xml:space="preserve">Internal migration</w:t>
            </w:r>
          </w:p>
        </w:tc>
      </w:tr>
      <w:tr>
        <w:tc>
          <w:p>
            <w:pPr>
              <w:pStyle w:val="Compact"/>
              <w:jc w:val="left"/>
            </w:pPr>
            <w:r>
              <w:t xml:space="preserve">Gosford - Springfield</w:t>
            </w:r>
          </w:p>
        </w:tc>
        <w:tc>
          <w:p>
            <w:pPr>
              <w:pStyle w:val="Compact"/>
              <w:jc w:val="left"/>
            </w:pPr>
            <w:r>
              <w:t xml:space="preserve">+516</w:t>
            </w:r>
          </w:p>
        </w:tc>
        <w:tc>
          <w:p>
            <w:pPr>
              <w:pStyle w:val="Compact"/>
              <w:jc w:val="left"/>
            </w:pPr>
            <w:r>
              <w:t xml:space="preserve">+103</w:t>
            </w:r>
          </w:p>
        </w:tc>
        <w:tc>
          <w:p>
            <w:pPr>
              <w:pStyle w:val="Compact"/>
              <w:jc w:val="left"/>
            </w:pPr>
            <w:r>
              <w:t xml:space="preserve">+305</w:t>
            </w:r>
          </w:p>
        </w:tc>
        <w:tc>
          <w:p>
            <w:pPr>
              <w:pStyle w:val="Compact"/>
              <w:jc w:val="left"/>
            </w:pPr>
            <w:r>
              <w:t xml:space="preserve">Overseas migration</w:t>
            </w:r>
          </w:p>
        </w:tc>
      </w:tr>
      <w:tr>
        <w:tc>
          <w:p>
            <w:pPr>
              <w:pStyle w:val="Compact"/>
              <w:jc w:val="left"/>
            </w:pPr>
            <w:r>
              <w:t xml:space="preserve">Terrigal - North Avoca</w:t>
            </w:r>
          </w:p>
        </w:tc>
        <w:tc>
          <w:p>
            <w:pPr>
              <w:pStyle w:val="Compact"/>
              <w:jc w:val="left"/>
            </w:pPr>
            <w:r>
              <w:t xml:space="preserve">+207</w:t>
            </w:r>
          </w:p>
        </w:tc>
        <w:tc>
          <w:p>
            <w:pPr>
              <w:pStyle w:val="Compact"/>
              <w:jc w:val="left"/>
            </w:pPr>
            <w:r>
              <w:t xml:space="preserve">-78</w:t>
            </w:r>
          </w:p>
        </w:tc>
        <w:tc>
          <w:p>
            <w:pPr>
              <w:pStyle w:val="Compact"/>
              <w:jc w:val="left"/>
            </w:pPr>
            <w:r>
              <w:t xml:space="preserve">+224</w:t>
            </w:r>
          </w:p>
        </w:tc>
        <w:tc>
          <w:p>
            <w:pPr>
              <w:pStyle w:val="Compact"/>
              <w:jc w:val="left"/>
            </w:pPr>
            <w:r>
              <w:t xml:space="preserve">Overseas migration</w:t>
            </w:r>
          </w:p>
        </w:tc>
      </w:tr>
      <w:tr>
        <w:tc>
          <w:p>
            <w:pPr>
              <w:pStyle w:val="Compact"/>
              <w:jc w:val="left"/>
            </w:pPr>
            <w:r>
              <w:t xml:space="preserve">The Entrance</w:t>
            </w:r>
          </w:p>
        </w:tc>
        <w:tc>
          <w:p>
            <w:pPr>
              <w:pStyle w:val="Compact"/>
              <w:jc w:val="left"/>
            </w:pPr>
            <w:r>
              <w:t xml:space="preserve">+187</w:t>
            </w:r>
          </w:p>
        </w:tc>
        <w:tc>
          <w:p>
            <w:pPr>
              <w:pStyle w:val="Compact"/>
              <w:jc w:val="left"/>
            </w:pPr>
            <w:r>
              <w:t xml:space="preserve">+25</w:t>
            </w:r>
          </w:p>
        </w:tc>
        <w:tc>
          <w:p>
            <w:pPr>
              <w:pStyle w:val="Compact"/>
              <w:jc w:val="left"/>
            </w:pPr>
            <w:r>
              <w:t xml:space="preserve">+138</w:t>
            </w:r>
          </w:p>
        </w:tc>
        <w:tc>
          <w:p>
            <w:pPr>
              <w:pStyle w:val="Compact"/>
              <w:jc w:val="left"/>
            </w:pPr>
            <w:r>
              <w:t xml:space="preserve">Overseas migration</w:t>
            </w:r>
          </w:p>
        </w:tc>
      </w:tr>
      <w:tr>
        <w:tc>
          <w:p>
            <w:pPr>
              <w:pStyle w:val="Compact"/>
              <w:jc w:val="left"/>
            </w:pPr>
            <w:r>
              <w:t xml:space="preserve">Summerland Point - Gwandalan</w:t>
            </w:r>
          </w:p>
        </w:tc>
        <w:tc>
          <w:p>
            <w:pPr>
              <w:pStyle w:val="Compact"/>
              <w:jc w:val="left"/>
            </w:pPr>
            <w:r>
              <w:t xml:space="preserve">+161</w:t>
            </w:r>
          </w:p>
        </w:tc>
        <w:tc>
          <w:p>
            <w:pPr>
              <w:pStyle w:val="Compact"/>
              <w:jc w:val="left"/>
            </w:pPr>
            <w:r>
              <w:t xml:space="preserve">+110</w:t>
            </w:r>
          </w:p>
        </w:tc>
        <w:tc>
          <w:p>
            <w:pPr>
              <w:pStyle w:val="Compact"/>
              <w:jc w:val="left"/>
            </w:pPr>
            <w:r>
              <w:t xml:space="preserve">+21</w:t>
            </w:r>
          </w:p>
        </w:tc>
        <w:tc>
          <w:p>
            <w:pPr>
              <w:pStyle w:val="Compact"/>
              <w:jc w:val="left"/>
            </w:pPr>
            <w:r>
              <w:t xml:space="preserve">Internal migration</w:t>
            </w:r>
          </w:p>
        </w:tc>
      </w:tr>
      <w:tr>
        <w:tc>
          <w:p>
            <w:pPr>
              <w:pStyle w:val="Compact"/>
              <w:jc w:val="left"/>
            </w:pPr>
            <w:r>
              <w:t xml:space="preserve">Chittaway Bay - Tumbi Umbi</w:t>
            </w:r>
          </w:p>
        </w:tc>
        <w:tc>
          <w:p>
            <w:pPr>
              <w:pStyle w:val="Compact"/>
              <w:jc w:val="left"/>
            </w:pPr>
            <w:r>
              <w:t xml:space="preserve">+131</w:t>
            </w:r>
          </w:p>
        </w:tc>
        <w:tc>
          <w:p>
            <w:pPr>
              <w:pStyle w:val="Compact"/>
              <w:jc w:val="left"/>
            </w:pPr>
            <w:r>
              <w:t xml:space="preserve">+21</w:t>
            </w:r>
          </w:p>
        </w:tc>
        <w:tc>
          <w:p>
            <w:pPr>
              <w:pStyle w:val="Compact"/>
              <w:jc w:val="left"/>
            </w:pPr>
            <w:r>
              <w:t xml:space="preserve">+93</w:t>
            </w:r>
          </w:p>
        </w:tc>
        <w:tc>
          <w:p>
            <w:pPr>
              <w:pStyle w:val="Compact"/>
              <w:jc w:val="left"/>
            </w:pPr>
            <w:r>
              <w:t xml:space="preserve">Mixed</w:t>
            </w:r>
          </w:p>
        </w:tc>
      </w:tr>
    </w:tbl>
    <w:p>
      <w:pPr>
        <w:pStyle w:val="BodyText"/>
      </w:pPr>
      <w:r>
        <w:rPr>
          <w:b/>
        </w:rPr>
        <w:t xml:space="preserve">Warnervale - Wadalba</w:t>
      </w:r>
      <w:r>
        <w:t xml:space="preserve"> </w:t>
      </w:r>
      <w:r>
        <w:t xml:space="preserve">absorbed</w:t>
      </w:r>
      <w:r>
        <w:t xml:space="preserve"> </w:t>
      </w:r>
      <w:r>
        <w:rPr>
          <w:b/>
        </w:rPr>
        <w:t xml:space="preserve">22% of all LGA population growth</w:t>
      </w:r>
      <w:r>
        <w:t xml:space="preserve">, driven overwhelmingly by internal migration (+469) - households relocating from elsewhere in Australia (predominantly Sydney) seeking affordable family housing.</w:t>
      </w:r>
      <w:r>
        <w:t xml:space="preserve"> </w:t>
      </w:r>
      <w:r>
        <w:rPr>
          <w:b/>
        </w:rPr>
        <w:t xml:space="preserve">Gosford - Springfield</w:t>
      </w:r>
      <w:r>
        <w:t xml:space="preserve"> </w:t>
      </w:r>
      <w:r>
        <w:t xml:space="preserve">leads overseas migration (+305), reflecting its role as the regional centre with urban amenity, employment opportunities, and established migrant settlement services.</w:t>
      </w:r>
    </w:p>
    <w:p>
      <w:pPr>
        <w:pStyle w:val="BodyText"/>
      </w:pPr>
      <w:r>
        <w:rPr>
          <w:b/>
        </w:rPr>
        <w:t xml:space="preserve">Declining suburbs:</w:t>
      </w:r>
      <w:r>
        <w:t xml:space="preserve"> </w:t>
      </w:r>
      <w:r>
        <w:t xml:space="preserve">Toukley - Norah Head (-19), Lake Munmorah - Mannering Park (-27), and Kincumber - Picketts Valley (-8) recorded population losses - predominantly older coastal areas with ageing-in-place populations and limited new housing supply.</w:t>
      </w:r>
    </w:p>
    <w:p>
      <w:pPr>
        <w:pStyle w:val="Heading3"/>
      </w:pPr>
      <w:bookmarkStart w:id="38" w:name="age-profile"/>
      <w:r>
        <w:t xml:space="preserve">5.3 Age Profile</w:t>
      </w:r>
      <w:bookmarkEnd w:id="38"/>
    </w:p>
    <w:p>
      <w:pPr>
        <w:pStyle w:val="FirstParagraph"/>
      </w:pPr>
      <w:r>
        <w:t xml:space="preserve">The Central Coast median age of</w:t>
      </w:r>
      <w:r>
        <w:t xml:space="preserve"> </w:t>
      </w:r>
      <w:r>
        <w:rPr>
          <w:b/>
        </w:rPr>
        <w:t xml:space="preserve">42.3 years</w:t>
      </w:r>
      <w:r>
        <w:t xml:space="preserve"> </w:t>
      </w:r>
      <w:r>
        <w:t xml:space="preserve">exceeds the national average (38.4 years). Age distribution varies dramatically by suburb:</w:t>
      </w:r>
    </w:p>
    <w:p>
      <w:pPr>
        <w:pStyle w:val="BodyText"/>
      </w:pPr>
      <w:r>
        <w:rPr>
          <w:b/>
        </w:rPr>
        <w:t xml:space="preserve">Oldest suburbs (median age ≥ 47 years):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Median Age</w:t>
            </w:r>
          </w:p>
        </w:tc>
        <w:tc>
          <w:tcPr>
            <w:tcBorders>
              <w:bottom w:val="single"/>
            </w:tcBorders>
            <w:vAlign w:val="bottom"/>
          </w:tcPr>
          <w:p>
            <w:pPr>
              <w:pStyle w:val="Compact"/>
              <w:jc w:val="left"/>
            </w:pPr>
            <w:r>
              <w:t xml:space="preserve">% Over 69</w:t>
            </w:r>
          </w:p>
        </w:tc>
        <w:tc>
          <w:tcPr>
            <w:tcBorders>
              <w:bottom w:val="single"/>
            </w:tcBorders>
            <w:vAlign w:val="bottom"/>
          </w:tcPr>
          <w:p>
            <w:pPr>
              <w:pStyle w:val="Compact"/>
              <w:jc w:val="left"/>
            </w:pPr>
            <w:r>
              <w:t xml:space="preserve">% Under 20</w:t>
            </w:r>
          </w:p>
        </w:tc>
        <w:tc>
          <w:tcPr>
            <w:tcBorders>
              <w:bottom w:val="single"/>
            </w:tcBorders>
            <w:vAlign w:val="bottom"/>
          </w:tcPr>
          <w:p>
            <w:pPr>
              <w:pStyle w:val="Compact"/>
              <w:jc w:val="left"/>
            </w:pPr>
            <w:r>
              <w:t xml:space="preserve">Age Pension Recipients</w:t>
            </w:r>
          </w:p>
        </w:tc>
      </w:tr>
      <w:tr>
        <w:tc>
          <w:p>
            <w:pPr>
              <w:pStyle w:val="Compact"/>
              <w:jc w:val="left"/>
            </w:pPr>
            <w:r>
              <w:t xml:space="preserve">Lake Munmorah - Mannering Park</w:t>
            </w:r>
          </w:p>
        </w:tc>
        <w:tc>
          <w:p>
            <w:pPr>
              <w:pStyle w:val="Compact"/>
              <w:jc w:val="left"/>
            </w:pPr>
            <w:r>
              <w:t xml:space="preserve">49</w:t>
            </w:r>
          </w:p>
        </w:tc>
        <w:tc>
          <w:p>
            <w:pPr>
              <w:pStyle w:val="Compact"/>
              <w:jc w:val="left"/>
            </w:pPr>
            <w:r>
              <w:t xml:space="preserve">25.7%</w:t>
            </w:r>
          </w:p>
        </w:tc>
        <w:tc>
          <w:p>
            <w:pPr>
              <w:pStyle w:val="Compact"/>
              <w:jc w:val="left"/>
            </w:pPr>
            <w:r>
              <w:t xml:space="preserve">19.5%</w:t>
            </w:r>
          </w:p>
        </w:tc>
        <w:tc>
          <w:p>
            <w:pPr>
              <w:pStyle w:val="Compact"/>
              <w:jc w:val="left"/>
            </w:pPr>
            <w:r>
              <w:t xml:space="preserve">2,750</w:t>
            </w:r>
          </w:p>
        </w:tc>
      </w:tr>
      <w:tr>
        <w:tc>
          <w:p>
            <w:pPr>
              <w:pStyle w:val="Compact"/>
              <w:jc w:val="left"/>
            </w:pPr>
            <w:r>
              <w:t xml:space="preserve">Erina - Green Point</w:t>
            </w:r>
          </w:p>
        </w:tc>
        <w:tc>
          <w:p>
            <w:pPr>
              <w:pStyle w:val="Compact"/>
              <w:jc w:val="left"/>
            </w:pPr>
            <w:r>
              <w:t xml:space="preserve">49</w:t>
            </w:r>
          </w:p>
        </w:tc>
        <w:tc>
          <w:p>
            <w:pPr>
              <w:pStyle w:val="Compact"/>
              <w:jc w:val="left"/>
            </w:pPr>
            <w:r>
              <w:t xml:space="preserve">26.0%</w:t>
            </w:r>
          </w:p>
        </w:tc>
        <w:tc>
          <w:p>
            <w:pPr>
              <w:pStyle w:val="Compact"/>
              <w:jc w:val="left"/>
            </w:pPr>
            <w:r>
              <w:t xml:space="preserve">21.5%</w:t>
            </w:r>
          </w:p>
        </w:tc>
        <w:tc>
          <w:p>
            <w:pPr>
              <w:pStyle w:val="Compact"/>
              <w:jc w:val="left"/>
            </w:pPr>
            <w:r>
              <w:t xml:space="preserve">2,835</w:t>
            </w:r>
          </w:p>
        </w:tc>
      </w:tr>
      <w:tr>
        <w:tc>
          <w:p>
            <w:pPr>
              <w:pStyle w:val="Compact"/>
              <w:jc w:val="left"/>
            </w:pPr>
            <w:r>
              <w:t xml:space="preserve">Toukley - Norah Head</w:t>
            </w:r>
          </w:p>
        </w:tc>
        <w:tc>
          <w:p>
            <w:pPr>
              <w:pStyle w:val="Compact"/>
              <w:jc w:val="left"/>
            </w:pPr>
            <w:r>
              <w:t xml:space="preserve">48</w:t>
            </w:r>
          </w:p>
        </w:tc>
        <w:tc>
          <w:p>
            <w:pPr>
              <w:pStyle w:val="Compact"/>
              <w:jc w:val="left"/>
            </w:pPr>
            <w:r>
              <w:t xml:space="preserve">20.7%</w:t>
            </w:r>
          </w:p>
        </w:tc>
        <w:tc>
          <w:p>
            <w:pPr>
              <w:pStyle w:val="Compact"/>
              <w:jc w:val="left"/>
            </w:pPr>
            <w:r>
              <w:t xml:space="preserve">20.7%</w:t>
            </w:r>
          </w:p>
        </w:tc>
        <w:tc>
          <w:p>
            <w:pPr>
              <w:pStyle w:val="Compact"/>
              <w:jc w:val="left"/>
            </w:pPr>
            <w:r>
              <w:t xml:space="preserve">1,830</w:t>
            </w:r>
          </w:p>
        </w:tc>
      </w:tr>
      <w:tr>
        <w:tc>
          <w:p>
            <w:pPr>
              <w:pStyle w:val="Compact"/>
              <w:jc w:val="left"/>
            </w:pPr>
            <w:r>
              <w:t xml:space="preserve">Box Head - MacMasters Beach</w:t>
            </w:r>
          </w:p>
        </w:tc>
        <w:tc>
          <w:p>
            <w:pPr>
              <w:pStyle w:val="Compact"/>
              <w:jc w:val="left"/>
            </w:pPr>
            <w:r>
              <w:t xml:space="preserve">47</w:t>
            </w:r>
          </w:p>
        </w:tc>
        <w:tc>
          <w:p>
            <w:pPr>
              <w:pStyle w:val="Compact"/>
              <w:jc w:val="left"/>
            </w:pPr>
            <w:r>
              <w:t xml:space="preserve">19.5%</w:t>
            </w:r>
          </w:p>
        </w:tc>
        <w:tc>
          <w:p>
            <w:pPr>
              <w:pStyle w:val="Compact"/>
              <w:jc w:val="left"/>
            </w:pPr>
            <w:r>
              <w:t xml:space="preserve">22.0%</w:t>
            </w:r>
          </w:p>
        </w:tc>
        <w:tc>
          <w:p>
            <w:pPr>
              <w:pStyle w:val="Compact"/>
              <w:jc w:val="left"/>
            </w:pPr>
            <w:r>
              <w:t xml:space="preserve">1,590</w:t>
            </w:r>
          </w:p>
        </w:tc>
      </w:tr>
      <w:tr>
        <w:tc>
          <w:p>
            <w:pPr>
              <w:pStyle w:val="Compact"/>
              <w:jc w:val="left"/>
            </w:pPr>
            <w:r>
              <w:t xml:space="preserve">Kincumber - Picketts Valley</w:t>
            </w:r>
          </w:p>
        </w:tc>
        <w:tc>
          <w:p>
            <w:pPr>
              <w:pStyle w:val="Compact"/>
              <w:jc w:val="left"/>
            </w:pPr>
            <w:r>
              <w:t xml:space="preserve">47</w:t>
            </w:r>
          </w:p>
        </w:tc>
        <w:tc>
          <w:p>
            <w:pPr>
              <w:pStyle w:val="Compact"/>
              <w:jc w:val="left"/>
            </w:pPr>
            <w:r>
              <w:t xml:space="preserve">24.4%</w:t>
            </w:r>
          </w:p>
        </w:tc>
        <w:tc>
          <w:p>
            <w:pPr>
              <w:pStyle w:val="Compact"/>
              <w:jc w:val="left"/>
            </w:pPr>
            <w:r>
              <w:t xml:space="preserve">22.9%</w:t>
            </w:r>
          </w:p>
        </w:tc>
        <w:tc>
          <w:p>
            <w:pPr>
              <w:pStyle w:val="Compact"/>
              <w:jc w:val="left"/>
            </w:pPr>
            <w:r>
              <w:t xml:space="preserve">1,430</w:t>
            </w:r>
          </w:p>
        </w:tc>
      </w:tr>
      <w:tr>
        <w:tc>
          <w:p>
            <w:pPr>
              <w:pStyle w:val="Compact"/>
              <w:jc w:val="left"/>
            </w:pPr>
            <w:r>
              <w:t xml:space="preserve">Woy Woy - Blackwall</w:t>
            </w:r>
          </w:p>
        </w:tc>
        <w:tc>
          <w:p>
            <w:pPr>
              <w:pStyle w:val="Compact"/>
              <w:jc w:val="left"/>
            </w:pPr>
            <w:r>
              <w:t xml:space="preserve">47</w:t>
            </w:r>
          </w:p>
        </w:tc>
        <w:tc>
          <w:p>
            <w:pPr>
              <w:pStyle w:val="Compact"/>
              <w:jc w:val="left"/>
            </w:pPr>
            <w:r>
              <w:t xml:space="preserve">19.9%</w:t>
            </w:r>
          </w:p>
        </w:tc>
        <w:tc>
          <w:p>
            <w:pPr>
              <w:pStyle w:val="Compact"/>
              <w:jc w:val="left"/>
            </w:pPr>
            <w:r>
              <w:t xml:space="preserve">19.9%</w:t>
            </w:r>
          </w:p>
        </w:tc>
        <w:tc>
          <w:p>
            <w:pPr>
              <w:pStyle w:val="Compact"/>
              <w:jc w:val="left"/>
            </w:pPr>
            <w:r>
              <w:t xml:space="preserve">2,590</w:t>
            </w:r>
          </w:p>
        </w:tc>
      </w:tr>
    </w:tbl>
    <w:p>
      <w:pPr>
        <w:pStyle w:val="BodyText"/>
      </w:pPr>
      <w:r>
        <w:t xml:space="preserve">Over</w:t>
      </w:r>
      <w:r>
        <w:t xml:space="preserve"> </w:t>
      </w:r>
      <w:r>
        <w:rPr>
          <w:b/>
        </w:rPr>
        <w:t xml:space="preserve">one quarter of residents</w:t>
      </w:r>
      <w:r>
        <w:t xml:space="preserve"> </w:t>
      </w:r>
      <w:r>
        <w:t xml:space="preserve">in Erina - Green Point (26.0%) and Lake Munmorah - Mannering Park (25.7%) are aged 69 or above. These suburbs will experience accelerating demand for aged care, healthcare, accessible housing, and transport services. Age Pension recipients now total</w:t>
      </w:r>
      <w:r>
        <w:t xml:space="preserve"> </w:t>
      </w:r>
      <w:r>
        <w:rPr>
          <w:b/>
        </w:rPr>
        <w:t xml:space="preserve">49,360</w:t>
      </w:r>
      <w:r>
        <w:t xml:space="preserve"> </w:t>
      </w:r>
      <w:r>
        <w:t xml:space="preserve">across the LGA (13.9% of population) - a number that will continue to rise as the resident cohort ages.</w:t>
      </w:r>
    </w:p>
    <w:p>
      <w:pPr>
        <w:pStyle w:val="BodyText"/>
      </w:pPr>
      <w:r>
        <w:rPr>
          <w:b/>
        </w:rPr>
        <w:t xml:space="preserve">Youngest suburbs (median age ≤ 37 years):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Median Age</w:t>
            </w:r>
          </w:p>
        </w:tc>
        <w:tc>
          <w:tcPr>
            <w:tcBorders>
              <w:bottom w:val="single"/>
            </w:tcBorders>
            <w:vAlign w:val="bottom"/>
          </w:tcPr>
          <w:p>
            <w:pPr>
              <w:pStyle w:val="Compact"/>
              <w:jc w:val="left"/>
            </w:pPr>
            <w:r>
              <w:t xml:space="preserve">% Under 20</w:t>
            </w:r>
          </w:p>
        </w:tc>
        <w:tc>
          <w:tcPr>
            <w:tcBorders>
              <w:bottom w:val="single"/>
            </w:tcBorders>
            <w:vAlign w:val="bottom"/>
          </w:tcPr>
          <w:p>
            <w:pPr>
              <w:pStyle w:val="Compact"/>
              <w:jc w:val="left"/>
            </w:pPr>
            <w:r>
              <w:t xml:space="preserve">% Over 69</w:t>
            </w:r>
          </w:p>
        </w:tc>
      </w:tr>
      <w:tr>
        <w:tc>
          <w:p>
            <w:pPr>
              <w:pStyle w:val="Compact"/>
              <w:jc w:val="left"/>
            </w:pPr>
            <w:r>
              <w:t xml:space="preserve">Blue Haven - San Remo</w:t>
            </w:r>
          </w:p>
        </w:tc>
        <w:tc>
          <w:p>
            <w:pPr>
              <w:pStyle w:val="Compact"/>
              <w:jc w:val="left"/>
            </w:pPr>
            <w:r>
              <w:t xml:space="preserve">34</w:t>
            </w:r>
          </w:p>
        </w:tc>
        <w:tc>
          <w:p>
            <w:pPr>
              <w:pStyle w:val="Compact"/>
              <w:jc w:val="left"/>
            </w:pPr>
            <w:r>
              <w:t xml:space="preserve">29.2%</w:t>
            </w:r>
          </w:p>
        </w:tc>
        <w:tc>
          <w:p>
            <w:pPr>
              <w:pStyle w:val="Compact"/>
              <w:jc w:val="left"/>
            </w:pPr>
            <w:r>
              <w:t xml:space="preserve">9.4%</w:t>
            </w:r>
          </w:p>
        </w:tc>
      </w:tr>
      <w:tr>
        <w:tc>
          <w:p>
            <w:pPr>
              <w:pStyle w:val="Compact"/>
              <w:jc w:val="left"/>
            </w:pPr>
            <w:r>
              <w:t xml:space="preserve">Warnervale - Wadalba</w:t>
            </w:r>
          </w:p>
        </w:tc>
        <w:tc>
          <w:p>
            <w:pPr>
              <w:pStyle w:val="Compact"/>
              <w:jc w:val="left"/>
            </w:pPr>
            <w:r>
              <w:t xml:space="preserve">35</w:t>
            </w:r>
          </w:p>
        </w:tc>
        <w:tc>
          <w:p>
            <w:pPr>
              <w:pStyle w:val="Compact"/>
              <w:jc w:val="left"/>
            </w:pPr>
            <w:r>
              <w:t xml:space="preserve">31.5%</w:t>
            </w:r>
          </w:p>
        </w:tc>
        <w:tc>
          <w:p>
            <w:pPr>
              <w:pStyle w:val="Compact"/>
              <w:jc w:val="left"/>
            </w:pPr>
            <w:r>
              <w:t xml:space="preserve">10.9%</w:t>
            </w:r>
          </w:p>
        </w:tc>
      </w:tr>
      <w:tr>
        <w:tc>
          <w:p>
            <w:pPr>
              <w:pStyle w:val="Compact"/>
              <w:jc w:val="left"/>
            </w:pPr>
            <w:r>
              <w:t xml:space="preserve">Kariong</w:t>
            </w:r>
          </w:p>
        </w:tc>
        <w:tc>
          <w:p>
            <w:pPr>
              <w:pStyle w:val="Compact"/>
              <w:jc w:val="left"/>
            </w:pPr>
            <w:r>
              <w:t xml:space="preserve">35</w:t>
            </w:r>
          </w:p>
        </w:tc>
        <w:tc>
          <w:p>
            <w:pPr>
              <w:pStyle w:val="Compact"/>
              <w:jc w:val="left"/>
            </w:pPr>
            <w:r>
              <w:t xml:space="preserve">29.9%</w:t>
            </w:r>
          </w:p>
        </w:tc>
        <w:tc>
          <w:p>
            <w:pPr>
              <w:pStyle w:val="Compact"/>
              <w:jc w:val="left"/>
            </w:pPr>
            <w:r>
              <w:t xml:space="preserve">6.6%</w:t>
            </w:r>
          </w:p>
        </w:tc>
      </w:tr>
      <w:tr>
        <w:tc>
          <w:p>
            <w:pPr>
              <w:pStyle w:val="Compact"/>
              <w:jc w:val="left"/>
            </w:pPr>
            <w:r>
              <w:t xml:space="preserve">Tuggerah - Kangy Angy</w:t>
            </w:r>
          </w:p>
        </w:tc>
        <w:tc>
          <w:p>
            <w:pPr>
              <w:pStyle w:val="Compact"/>
              <w:jc w:val="left"/>
            </w:pPr>
            <w:r>
              <w:t xml:space="preserve">37</w:t>
            </w:r>
          </w:p>
        </w:tc>
        <w:tc>
          <w:p>
            <w:pPr>
              <w:pStyle w:val="Compact"/>
              <w:jc w:val="left"/>
            </w:pPr>
            <w:r>
              <w:t xml:space="preserve">27.1%</w:t>
            </w:r>
          </w:p>
        </w:tc>
        <w:tc>
          <w:p>
            <w:pPr>
              <w:pStyle w:val="Compact"/>
              <w:jc w:val="left"/>
            </w:pPr>
            <w:r>
              <w:t xml:space="preserve">10.8%</w:t>
            </w:r>
          </w:p>
        </w:tc>
      </w:tr>
    </w:tbl>
    <w:p>
      <w:pPr>
        <w:pStyle w:val="BodyText"/>
      </w:pPr>
      <w:r>
        <w:rPr>
          <w:b/>
        </w:rPr>
        <w:t xml:space="preserve">Warnervale - Wadalba</w:t>
      </w:r>
      <w:r>
        <w:t xml:space="preserve"> </w:t>
      </w:r>
      <w:r>
        <w:t xml:space="preserve">has the highest proportion of under-20s (31.5%) - consistent with its character as a growing family-oriented greenfield suburb requiring schools, childcare, and family services.</w:t>
      </w:r>
    </w:p>
    <w:p>
      <w:pPr>
        <w:pStyle w:val="Heading3"/>
      </w:pPr>
      <w:bookmarkStart w:id="39" w:name="education-attainment"/>
      <w:r>
        <w:t xml:space="preserve">5.4 Education Attainment</w:t>
      </w:r>
      <w:bookmarkEnd w:id="39"/>
    </w:p>
    <w:p>
      <w:pPr>
        <w:pStyle w:val="FirstParagraph"/>
      </w:pPr>
      <w:r>
        <w:t xml:space="preserve">Educational attainment strongly correlates with socioeconomic outcomes and follows the Gosford-Wyong divide:</w:t>
      </w:r>
    </w:p>
    <w:p>
      <w:pPr>
        <w:pStyle w:val="BodyText"/>
      </w:pPr>
      <w:r>
        <w:rPr>
          <w:b/>
        </w:rPr>
        <w:t xml:space="preserve">Highest attainment suburbs: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Bachelor Degree (%)</w:t>
            </w:r>
          </w:p>
        </w:tc>
        <w:tc>
          <w:tcPr>
            <w:tcBorders>
              <w:bottom w:val="single"/>
            </w:tcBorders>
            <w:vAlign w:val="bottom"/>
          </w:tcPr>
          <w:p>
            <w:pPr>
              <w:pStyle w:val="Compact"/>
              <w:jc w:val="left"/>
            </w:pPr>
            <w:r>
              <w:t xml:space="preserve">Year 12 (%)</w:t>
            </w:r>
          </w:p>
        </w:tc>
        <w:tc>
          <w:tcPr>
            <w:tcBorders>
              <w:bottom w:val="single"/>
            </w:tcBorders>
            <w:vAlign w:val="bottom"/>
          </w:tcPr>
          <w:p>
            <w:pPr>
              <w:pStyle w:val="Compact"/>
              <w:jc w:val="left"/>
            </w:pPr>
            <w:r>
              <w:t xml:space="preserve">Median Income/wk</w:t>
            </w:r>
          </w:p>
        </w:tc>
      </w:tr>
      <w:tr>
        <w:tc>
          <w:p>
            <w:pPr>
              <w:pStyle w:val="Compact"/>
              <w:jc w:val="left"/>
            </w:pPr>
            <w:r>
              <w:t xml:space="preserve">Terrigal - North Avoca</w:t>
            </w:r>
          </w:p>
        </w:tc>
        <w:tc>
          <w:p>
            <w:pPr>
              <w:pStyle w:val="Compact"/>
              <w:jc w:val="left"/>
            </w:pPr>
            <w:r>
              <w:t xml:space="preserve">15.0%</w:t>
            </w:r>
          </w:p>
        </w:tc>
        <w:tc>
          <w:p>
            <w:pPr>
              <w:pStyle w:val="Compact"/>
              <w:jc w:val="left"/>
            </w:pPr>
            <w:r>
              <w:t xml:space="preserve">45.5%</w:t>
            </w:r>
          </w:p>
        </w:tc>
        <w:tc>
          <w:p>
            <w:pPr>
              <w:pStyle w:val="Compact"/>
              <w:jc w:val="left"/>
            </w:pPr>
            <w:r>
              <w:t xml:space="preserve">$1,760</w:t>
            </w:r>
          </w:p>
        </w:tc>
      </w:tr>
      <w:tr>
        <w:tc>
          <w:p>
            <w:pPr>
              <w:pStyle w:val="Compact"/>
              <w:jc w:val="left"/>
            </w:pPr>
            <w:r>
              <w:t xml:space="preserve">Avoca Beach - Copacabana</w:t>
            </w:r>
          </w:p>
        </w:tc>
        <w:tc>
          <w:p>
            <w:pPr>
              <w:pStyle w:val="Compact"/>
              <w:jc w:val="left"/>
            </w:pPr>
            <w:r>
              <w:t xml:space="preserve">14.7%</w:t>
            </w:r>
          </w:p>
        </w:tc>
        <w:tc>
          <w:p>
            <w:pPr>
              <w:pStyle w:val="Compact"/>
              <w:jc w:val="left"/>
            </w:pPr>
            <w:r>
              <w:t xml:space="preserve">44.5%</w:t>
            </w:r>
          </w:p>
        </w:tc>
        <w:tc>
          <w:p>
            <w:pPr>
              <w:pStyle w:val="Compact"/>
              <w:jc w:val="left"/>
            </w:pPr>
            <w:r>
              <w:t xml:space="preserve">$1,869</w:t>
            </w:r>
          </w:p>
        </w:tc>
      </w:tr>
      <w:tr>
        <w:tc>
          <w:p>
            <w:pPr>
              <w:pStyle w:val="Compact"/>
              <w:jc w:val="left"/>
            </w:pPr>
            <w:r>
              <w:t xml:space="preserve">Wamberal - Forresters Beach</w:t>
            </w:r>
          </w:p>
        </w:tc>
        <w:tc>
          <w:p>
            <w:pPr>
              <w:pStyle w:val="Compact"/>
              <w:jc w:val="left"/>
            </w:pPr>
            <w:r>
              <w:t xml:space="preserve">13.4%</w:t>
            </w:r>
          </w:p>
        </w:tc>
        <w:tc>
          <w:p>
            <w:pPr>
              <w:pStyle w:val="Compact"/>
              <w:jc w:val="left"/>
            </w:pPr>
            <w:r>
              <w:t xml:space="preserve">41.2%</w:t>
            </w:r>
          </w:p>
        </w:tc>
        <w:tc>
          <w:p>
            <w:pPr>
              <w:pStyle w:val="Compact"/>
              <w:jc w:val="left"/>
            </w:pPr>
            <w:r>
              <w:t xml:space="preserve">$1,852</w:t>
            </w:r>
          </w:p>
        </w:tc>
      </w:tr>
      <w:tr>
        <w:tc>
          <w:p>
            <w:pPr>
              <w:pStyle w:val="Compact"/>
              <w:jc w:val="left"/>
            </w:pPr>
            <w:r>
              <w:t xml:space="preserve">Gosford - Springfield</w:t>
            </w:r>
          </w:p>
        </w:tc>
        <w:tc>
          <w:p>
            <w:pPr>
              <w:pStyle w:val="Compact"/>
              <w:jc w:val="left"/>
            </w:pPr>
            <w:r>
              <w:t xml:space="preserve">12.3%</w:t>
            </w:r>
          </w:p>
        </w:tc>
        <w:tc>
          <w:p>
            <w:pPr>
              <w:pStyle w:val="Compact"/>
              <w:jc w:val="left"/>
            </w:pPr>
            <w:r>
              <w:t xml:space="preserve">41.1%</w:t>
            </w:r>
          </w:p>
        </w:tc>
        <w:tc>
          <w:p>
            <w:pPr>
              <w:pStyle w:val="Compact"/>
              <w:jc w:val="left"/>
            </w:pPr>
            <w:r>
              <w:t xml:space="preserve">$1,197</w:t>
            </w:r>
          </w:p>
        </w:tc>
      </w:tr>
      <w:tr>
        <w:tc>
          <w:p>
            <w:pPr>
              <w:pStyle w:val="Compact"/>
              <w:jc w:val="left"/>
            </w:pPr>
            <w:r>
              <w:t xml:space="preserve">Point Clare - Koolewong</w:t>
            </w:r>
          </w:p>
        </w:tc>
        <w:tc>
          <w:p>
            <w:pPr>
              <w:pStyle w:val="Compact"/>
              <w:jc w:val="left"/>
            </w:pPr>
            <w:r>
              <w:t xml:space="preserve">12.0%</w:t>
            </w:r>
          </w:p>
        </w:tc>
        <w:tc>
          <w:p>
            <w:pPr>
              <w:pStyle w:val="Compact"/>
              <w:jc w:val="left"/>
            </w:pPr>
            <w:r>
              <w:t xml:space="preserve">41.1%</w:t>
            </w:r>
          </w:p>
        </w:tc>
        <w:tc>
          <w:p>
            <w:pPr>
              <w:pStyle w:val="Compact"/>
              <w:jc w:val="left"/>
            </w:pPr>
            <w:r>
              <w:t xml:space="preserve">$1,407</w:t>
            </w:r>
          </w:p>
        </w:tc>
      </w:tr>
    </w:tbl>
    <w:p>
      <w:pPr>
        <w:pStyle w:val="BodyText"/>
      </w:pPr>
      <w:r>
        <w:rPr>
          <w:b/>
        </w:rPr>
        <w:t xml:space="preserve">Lowest attainment suburbs: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Bachelor Degree (%)</w:t>
            </w:r>
          </w:p>
        </w:tc>
        <w:tc>
          <w:tcPr>
            <w:tcBorders>
              <w:bottom w:val="single"/>
            </w:tcBorders>
            <w:vAlign w:val="bottom"/>
          </w:tcPr>
          <w:p>
            <w:pPr>
              <w:pStyle w:val="Compact"/>
              <w:jc w:val="left"/>
            </w:pPr>
            <w:r>
              <w:t xml:space="preserve">Year 12 (%)</w:t>
            </w:r>
          </w:p>
        </w:tc>
        <w:tc>
          <w:tcPr>
            <w:tcBorders>
              <w:bottom w:val="single"/>
            </w:tcBorders>
            <w:vAlign w:val="bottom"/>
          </w:tcPr>
          <w:p>
            <w:pPr>
              <w:pStyle w:val="Compact"/>
              <w:jc w:val="left"/>
            </w:pPr>
            <w:r>
              <w:t xml:space="preserve">Median Income/wk</w:t>
            </w:r>
          </w:p>
        </w:tc>
      </w:tr>
      <w:tr>
        <w:tc>
          <w:p>
            <w:pPr>
              <w:pStyle w:val="Compact"/>
              <w:jc w:val="left"/>
            </w:pPr>
            <w:r>
              <w:t xml:space="preserve">Blue Haven - San Remo</w:t>
            </w:r>
          </w:p>
        </w:tc>
        <w:tc>
          <w:p>
            <w:pPr>
              <w:pStyle w:val="Compact"/>
              <w:jc w:val="left"/>
            </w:pPr>
            <w:r>
              <w:t xml:space="preserve">3.3%</w:t>
            </w:r>
          </w:p>
        </w:tc>
        <w:tc>
          <w:p>
            <w:pPr>
              <w:pStyle w:val="Compact"/>
              <w:jc w:val="left"/>
            </w:pPr>
            <w:r>
              <w:t xml:space="preserve">23.0%</w:t>
            </w:r>
          </w:p>
        </w:tc>
        <w:tc>
          <w:p>
            <w:pPr>
              <w:pStyle w:val="Compact"/>
              <w:jc w:val="left"/>
            </w:pPr>
            <w:r>
              <w:t xml:space="preserve">$1,250</w:t>
            </w:r>
          </w:p>
        </w:tc>
      </w:tr>
      <w:tr>
        <w:tc>
          <w:p>
            <w:pPr>
              <w:pStyle w:val="Compact"/>
              <w:jc w:val="left"/>
            </w:pPr>
            <w:r>
              <w:t xml:space="preserve">Gorokan - Kanwal - Charmhaven</w:t>
            </w:r>
          </w:p>
        </w:tc>
        <w:tc>
          <w:p>
            <w:pPr>
              <w:pStyle w:val="Compact"/>
              <w:jc w:val="left"/>
            </w:pPr>
            <w:r>
              <w:t xml:space="preserve">4.4%</w:t>
            </w:r>
          </w:p>
        </w:tc>
        <w:tc>
          <w:p>
            <w:pPr>
              <w:pStyle w:val="Compact"/>
              <w:jc w:val="left"/>
            </w:pPr>
            <w:r>
              <w:t xml:space="preserve">24.3%</w:t>
            </w:r>
          </w:p>
        </w:tc>
        <w:tc>
          <w:p>
            <w:pPr>
              <w:pStyle w:val="Compact"/>
              <w:jc w:val="left"/>
            </w:pPr>
            <w:r>
              <w:t xml:space="preserve">$1,051</w:t>
            </w:r>
          </w:p>
        </w:tc>
      </w:tr>
      <w:tr>
        <w:tc>
          <w:p>
            <w:pPr>
              <w:pStyle w:val="Compact"/>
              <w:jc w:val="left"/>
            </w:pPr>
            <w:r>
              <w:t xml:space="preserve">Lake Munmorah - Mannering Park</w:t>
            </w:r>
          </w:p>
        </w:tc>
        <w:tc>
          <w:p>
            <w:pPr>
              <w:pStyle w:val="Compact"/>
              <w:jc w:val="left"/>
            </w:pPr>
            <w:r>
              <w:t xml:space="preserve">4.7%</w:t>
            </w:r>
          </w:p>
        </w:tc>
        <w:tc>
          <w:p>
            <w:pPr>
              <w:pStyle w:val="Compact"/>
              <w:jc w:val="left"/>
            </w:pPr>
            <w:r>
              <w:t xml:space="preserve">22.9%</w:t>
            </w:r>
          </w:p>
        </w:tc>
        <w:tc>
          <w:p>
            <w:pPr>
              <w:pStyle w:val="Compact"/>
              <w:jc w:val="left"/>
            </w:pPr>
            <w:r>
              <w:t xml:space="preserve">$977</w:t>
            </w:r>
          </w:p>
        </w:tc>
      </w:tr>
      <w:tr>
        <w:tc>
          <w:p>
            <w:pPr>
              <w:pStyle w:val="Compact"/>
              <w:jc w:val="left"/>
            </w:pPr>
            <w:r>
              <w:t xml:space="preserve">Summerland Point - Gwandalan</w:t>
            </w:r>
          </w:p>
        </w:tc>
        <w:tc>
          <w:p>
            <w:pPr>
              <w:pStyle w:val="Compact"/>
              <w:jc w:val="left"/>
            </w:pPr>
            <w:r>
              <w:t xml:space="preserve">4.8%</w:t>
            </w:r>
          </w:p>
        </w:tc>
        <w:tc>
          <w:p>
            <w:pPr>
              <w:pStyle w:val="Compact"/>
              <w:jc w:val="left"/>
            </w:pPr>
            <w:r>
              <w:t xml:space="preserve">24.9%</w:t>
            </w:r>
          </w:p>
        </w:tc>
        <w:tc>
          <w:p>
            <w:pPr>
              <w:pStyle w:val="Compact"/>
              <w:jc w:val="left"/>
            </w:pPr>
            <w:r>
              <w:t xml:space="preserve">$1,186</w:t>
            </w:r>
          </w:p>
        </w:tc>
      </w:tr>
      <w:tr>
        <w:tc>
          <w:p>
            <w:pPr>
              <w:pStyle w:val="Compact"/>
              <w:jc w:val="left"/>
            </w:pPr>
            <w:r>
              <w:t xml:space="preserve">Budgewoi - Buff Point - Halekulani</w:t>
            </w:r>
          </w:p>
        </w:tc>
        <w:tc>
          <w:p>
            <w:pPr>
              <w:pStyle w:val="Compact"/>
              <w:jc w:val="left"/>
            </w:pPr>
            <w:r>
              <w:t xml:space="preserve">4.8%</w:t>
            </w:r>
          </w:p>
        </w:tc>
        <w:tc>
          <w:p>
            <w:pPr>
              <w:pStyle w:val="Compact"/>
              <w:jc w:val="left"/>
            </w:pPr>
            <w:r>
              <w:t xml:space="preserve">24.1%</w:t>
            </w:r>
          </w:p>
        </w:tc>
        <w:tc>
          <w:p>
            <w:pPr>
              <w:pStyle w:val="Compact"/>
              <w:jc w:val="left"/>
            </w:pPr>
            <w:r>
              <w:t xml:space="preserve">$1,005</w:t>
            </w:r>
          </w:p>
        </w:tc>
      </w:tr>
    </w:tbl>
    <w:p>
      <w:pPr>
        <w:pStyle w:val="BodyText"/>
      </w:pPr>
      <w:r>
        <w:t xml:space="preserve">The gap between highest and lowest suburbs is</w:t>
      </w:r>
      <w:r>
        <w:t xml:space="preserve"> </w:t>
      </w:r>
      <w:r>
        <w:rPr>
          <w:b/>
        </w:rPr>
        <w:t xml:space="preserve">11.7 percentage points</w:t>
      </w:r>
      <w:r>
        <w:t xml:space="preserve"> </w:t>
      </w:r>
      <w:r>
        <w:t xml:space="preserve">for bachelor degrees (15.0% vs 3.3%) and</w:t>
      </w:r>
      <w:r>
        <w:t xml:space="preserve"> </w:t>
      </w:r>
      <w:r>
        <w:rPr>
          <w:b/>
        </w:rPr>
        <w:t xml:space="preserve">22.6 percentage points</w:t>
      </w:r>
      <w:r>
        <w:t xml:space="preserve"> </w:t>
      </w:r>
      <w:r>
        <w:t xml:space="preserve">for Year 12 completion (45.5% vs 22.9%). This education divide is self-reinforcing without targeted intervention in northern Wyong schools and vocational pathways.</w:t>
      </w:r>
    </w:p>
    <w:p>
      <w:pPr>
        <w:pStyle w:val="Heading3"/>
      </w:pPr>
      <w:bookmarkStart w:id="40" w:name="cultural-diversity-indigenous-population"/>
      <w:r>
        <w:t xml:space="preserve">5.5 Cultural Diversity &amp; Indigenous Population</w:t>
      </w:r>
      <w:bookmarkEnd w:id="40"/>
    </w:p>
    <w:p>
      <w:pPr>
        <w:pStyle w:val="FirstParagraph"/>
      </w:pPr>
      <w:r>
        <w:t xml:space="preserve">The LGA is predominantly English-speaking, with cultural diversity concentrated in specific suburbs:</w:t>
      </w:r>
    </w:p>
    <w:p>
      <w:pPr>
        <w:pStyle w:val="BodyText"/>
      </w:pPr>
      <w:r>
        <w:rPr>
          <w:b/>
        </w:rPr>
        <w:t xml:space="preserve">Highest cultural diversity: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 Born Overseas</w:t>
            </w:r>
          </w:p>
        </w:tc>
        <w:tc>
          <w:tcPr>
            <w:tcBorders>
              <w:bottom w:val="single"/>
            </w:tcBorders>
            <w:vAlign w:val="bottom"/>
          </w:tcPr>
          <w:p>
            <w:pPr>
              <w:pStyle w:val="Compact"/>
              <w:jc w:val="left"/>
            </w:pPr>
            <w:r>
              <w:t xml:space="preserve">% LOTE</w:t>
            </w:r>
          </w:p>
        </w:tc>
        <w:tc>
          <w:tcPr>
            <w:tcBorders>
              <w:bottom w:val="single"/>
            </w:tcBorders>
            <w:vAlign w:val="bottom"/>
          </w:tcPr>
          <w:p>
            <w:pPr>
              <w:pStyle w:val="Compact"/>
              <w:jc w:val="left"/>
            </w:pPr>
            <w:r>
              <w:t xml:space="preserve">Key Observation</w:t>
            </w:r>
          </w:p>
        </w:tc>
      </w:tr>
      <w:tr>
        <w:tc>
          <w:p>
            <w:pPr>
              <w:pStyle w:val="Compact"/>
              <w:jc w:val="left"/>
            </w:pPr>
            <w:r>
              <w:t xml:space="preserve">Gosford - Springfield</w:t>
            </w:r>
          </w:p>
        </w:tc>
        <w:tc>
          <w:p>
            <w:pPr>
              <w:pStyle w:val="Compact"/>
              <w:jc w:val="left"/>
            </w:pPr>
            <w:r>
              <w:t xml:space="preserve">21.2%</w:t>
            </w:r>
          </w:p>
        </w:tc>
        <w:tc>
          <w:p>
            <w:pPr>
              <w:pStyle w:val="Compact"/>
              <w:jc w:val="left"/>
            </w:pPr>
            <w:r>
              <w:t xml:space="preserve">13.2%</w:t>
            </w:r>
          </w:p>
        </w:tc>
        <w:tc>
          <w:p>
            <w:pPr>
              <w:pStyle w:val="Compact"/>
              <w:jc w:val="left"/>
            </w:pPr>
            <w:r>
              <w:t xml:space="preserve">Regional centre attracting migrants</w:t>
            </w:r>
          </w:p>
        </w:tc>
      </w:tr>
      <w:tr>
        <w:tc>
          <w:p>
            <w:pPr>
              <w:pStyle w:val="Compact"/>
              <w:jc w:val="left"/>
            </w:pPr>
            <w:r>
              <w:t xml:space="preserve">Erina - Green Point</w:t>
            </w:r>
          </w:p>
        </w:tc>
        <w:tc>
          <w:p>
            <w:pPr>
              <w:pStyle w:val="Compact"/>
              <w:jc w:val="left"/>
            </w:pPr>
            <w:r>
              <w:t xml:space="preserve">19.6%</w:t>
            </w:r>
          </w:p>
        </w:tc>
        <w:tc>
          <w:p>
            <w:pPr>
              <w:pStyle w:val="Compact"/>
              <w:jc w:val="left"/>
            </w:pPr>
            <w:r>
              <w:t xml:space="preserve">6.9%</w:t>
            </w:r>
          </w:p>
        </w:tc>
        <w:tc>
          <w:p>
            <w:pPr>
              <w:pStyle w:val="Compact"/>
              <w:jc w:val="left"/>
            </w:pPr>
            <w:r>
              <w:t xml:space="preserve">Commercial/retail employment hub</w:t>
            </w:r>
          </w:p>
        </w:tc>
      </w:tr>
      <w:tr>
        <w:tc>
          <w:p>
            <w:pPr>
              <w:pStyle w:val="Compact"/>
              <w:jc w:val="left"/>
            </w:pPr>
            <w:r>
              <w:t xml:space="preserve">Terrigal - North Avoca</w:t>
            </w:r>
          </w:p>
        </w:tc>
        <w:tc>
          <w:p>
            <w:pPr>
              <w:pStyle w:val="Compact"/>
              <w:jc w:val="left"/>
            </w:pPr>
            <w:r>
              <w:t xml:space="preserve">19.2%</w:t>
            </w:r>
          </w:p>
        </w:tc>
        <w:tc>
          <w:p>
            <w:pPr>
              <w:pStyle w:val="Compact"/>
              <w:jc w:val="left"/>
            </w:pPr>
            <w:r>
              <w:t xml:space="preserve">6.4%</w:t>
            </w:r>
          </w:p>
        </w:tc>
        <w:tc>
          <w:p>
            <w:pPr>
              <w:pStyle w:val="Compact"/>
              <w:jc w:val="left"/>
            </w:pPr>
            <w:r>
              <w:t xml:space="preserve">Coastal amenity attracting international buyers</w:t>
            </w:r>
          </w:p>
        </w:tc>
      </w:tr>
      <w:tr>
        <w:tc>
          <w:p>
            <w:pPr>
              <w:pStyle w:val="Compact"/>
              <w:jc w:val="left"/>
            </w:pPr>
            <w:r>
              <w:t xml:space="preserve">Point Clare - Koolewong</w:t>
            </w:r>
          </w:p>
        </w:tc>
        <w:tc>
          <w:p>
            <w:pPr>
              <w:pStyle w:val="Compact"/>
              <w:jc w:val="left"/>
            </w:pPr>
            <w:r>
              <w:t xml:space="preserve">19.2%</w:t>
            </w:r>
          </w:p>
        </w:tc>
        <w:tc>
          <w:p>
            <w:pPr>
              <w:pStyle w:val="Compact"/>
              <w:jc w:val="left"/>
            </w:pPr>
            <w:r>
              <w:t xml:space="preserve">8.1%</w:t>
            </w:r>
          </w:p>
        </w:tc>
        <w:tc>
          <w:p>
            <w:pPr>
              <w:pStyle w:val="Compact"/>
              <w:jc w:val="left"/>
            </w:pPr>
            <w:r>
              <w:t xml:space="preserve">Sydney commuter suburb</w:t>
            </w:r>
          </w:p>
        </w:tc>
      </w:tr>
      <w:tr>
        <w:tc>
          <w:p>
            <w:pPr>
              <w:pStyle w:val="Compact"/>
              <w:jc w:val="left"/>
            </w:pPr>
            <w:r>
              <w:t xml:space="preserve">Tuggerah - Kangy Angy</w:t>
            </w:r>
          </w:p>
        </w:tc>
        <w:tc>
          <w:p>
            <w:pPr>
              <w:pStyle w:val="Compact"/>
              <w:jc w:val="left"/>
            </w:pPr>
            <w:r>
              <w:t xml:space="preserve">18.5%</w:t>
            </w:r>
          </w:p>
        </w:tc>
        <w:tc>
          <w:p>
            <w:pPr>
              <w:pStyle w:val="Compact"/>
              <w:jc w:val="left"/>
            </w:pPr>
            <w:r>
              <w:t xml:space="preserve">10.4%</w:t>
            </w:r>
          </w:p>
        </w:tc>
        <w:tc>
          <w:p>
            <w:pPr>
              <w:pStyle w:val="Compact"/>
              <w:jc w:val="left"/>
            </w:pPr>
            <w:r>
              <w:t xml:space="preserve">Industrial/logistics employment</w:t>
            </w:r>
          </w:p>
        </w:tc>
      </w:tr>
    </w:tbl>
    <w:p>
      <w:pPr>
        <w:pStyle w:val="BodyText"/>
      </w:pPr>
      <w:r>
        <w:rPr>
          <w:b/>
        </w:rPr>
        <w:t xml:space="preserve">Indigenous population concentration: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 Indigenous</w:t>
            </w:r>
          </w:p>
        </w:tc>
        <w:tc>
          <w:tcPr>
            <w:tcBorders>
              <w:bottom w:val="single"/>
            </w:tcBorders>
            <w:vAlign w:val="bottom"/>
          </w:tcPr>
          <w:p>
            <w:pPr>
              <w:pStyle w:val="Compact"/>
              <w:jc w:val="left"/>
            </w:pPr>
            <w:r>
              <w:t xml:space="preserve">Total Indigenous</w:t>
            </w:r>
          </w:p>
        </w:tc>
        <w:tc>
          <w:tcPr>
            <w:tcBorders>
              <w:bottom w:val="single"/>
            </w:tcBorders>
            <w:vAlign w:val="bottom"/>
          </w:tcPr>
          <w:p>
            <w:pPr>
              <w:pStyle w:val="Compact"/>
              <w:jc w:val="left"/>
            </w:pPr>
            <w:r>
              <w:t xml:space="preserve">SEIFA-D</w:t>
            </w:r>
          </w:p>
        </w:tc>
      </w:tr>
      <w:tr>
        <w:tc>
          <w:p>
            <w:pPr>
              <w:pStyle w:val="Compact"/>
              <w:jc w:val="left"/>
            </w:pPr>
            <w:r>
              <w:t xml:space="preserve">Blue Haven - San Remo</w:t>
            </w:r>
          </w:p>
        </w:tc>
        <w:tc>
          <w:p>
            <w:pPr>
              <w:pStyle w:val="Compact"/>
              <w:jc w:val="left"/>
            </w:pPr>
            <w:r>
              <w:t xml:space="preserve">7.8%</w:t>
            </w:r>
          </w:p>
        </w:tc>
        <w:tc>
          <w:p>
            <w:pPr>
              <w:pStyle w:val="Compact"/>
              <w:jc w:val="left"/>
            </w:pPr>
            <w:r>
              <w:t xml:space="preserve">859</w:t>
            </w:r>
          </w:p>
        </w:tc>
        <w:tc>
          <w:p>
            <w:pPr>
              <w:pStyle w:val="Compact"/>
              <w:jc w:val="left"/>
            </w:pPr>
            <w:r>
              <w:t xml:space="preserve">920.1</w:t>
            </w:r>
          </w:p>
        </w:tc>
      </w:tr>
      <w:tr>
        <w:tc>
          <w:p>
            <w:pPr>
              <w:pStyle w:val="Compact"/>
              <w:jc w:val="left"/>
            </w:pPr>
            <w:r>
              <w:t xml:space="preserve">Wyong</w:t>
            </w:r>
          </w:p>
        </w:tc>
        <w:tc>
          <w:p>
            <w:pPr>
              <w:pStyle w:val="Compact"/>
              <w:jc w:val="left"/>
            </w:pPr>
            <w:r>
              <w:t xml:space="preserve">6.6%</w:t>
            </w:r>
          </w:p>
        </w:tc>
        <w:tc>
          <w:p>
            <w:pPr>
              <w:pStyle w:val="Compact"/>
              <w:jc w:val="left"/>
            </w:pPr>
            <w:r>
              <w:t xml:space="preserve">583</w:t>
            </w:r>
          </w:p>
        </w:tc>
        <w:tc>
          <w:p>
            <w:pPr>
              <w:pStyle w:val="Compact"/>
              <w:jc w:val="left"/>
            </w:pPr>
            <w:r>
              <w:t xml:space="preserve">897.3</w:t>
            </w:r>
          </w:p>
        </w:tc>
      </w:tr>
      <w:tr>
        <w:tc>
          <w:p>
            <w:pPr>
              <w:pStyle w:val="Compact"/>
              <w:jc w:val="left"/>
            </w:pPr>
            <w:r>
              <w:t xml:space="preserve">Budgewoi - Buff Point - Halekulani</w:t>
            </w:r>
          </w:p>
        </w:tc>
        <w:tc>
          <w:p>
            <w:pPr>
              <w:pStyle w:val="Compact"/>
              <w:jc w:val="left"/>
            </w:pPr>
            <w:r>
              <w:t xml:space="preserve">6.0%</w:t>
            </w:r>
          </w:p>
        </w:tc>
        <w:tc>
          <w:p>
            <w:pPr>
              <w:pStyle w:val="Compact"/>
              <w:jc w:val="left"/>
            </w:pPr>
            <w:r>
              <w:t xml:space="preserve">561</w:t>
            </w:r>
          </w:p>
        </w:tc>
        <w:tc>
          <w:p>
            <w:pPr>
              <w:pStyle w:val="Compact"/>
              <w:jc w:val="left"/>
            </w:pPr>
            <w:r>
              <w:t xml:space="preserve">953.6</w:t>
            </w:r>
          </w:p>
        </w:tc>
      </w:tr>
      <w:tr>
        <w:tc>
          <w:p>
            <w:pPr>
              <w:pStyle w:val="Compact"/>
              <w:jc w:val="left"/>
            </w:pPr>
            <w:r>
              <w:t xml:space="preserve">Gorokan - Kanwal - Charmhaven</w:t>
            </w:r>
          </w:p>
        </w:tc>
        <w:tc>
          <w:p>
            <w:pPr>
              <w:pStyle w:val="Compact"/>
              <w:jc w:val="left"/>
            </w:pPr>
            <w:r>
              <w:t xml:space="preserve">5.6%</w:t>
            </w:r>
          </w:p>
        </w:tc>
        <w:tc>
          <w:p>
            <w:pPr>
              <w:pStyle w:val="Compact"/>
              <w:jc w:val="left"/>
            </w:pPr>
            <w:r>
              <w:t xml:space="preserve">1,247</w:t>
            </w:r>
          </w:p>
        </w:tc>
        <w:tc>
          <w:p>
            <w:pPr>
              <w:pStyle w:val="Compact"/>
              <w:jc w:val="left"/>
            </w:pPr>
            <w:r>
              <w:t xml:space="preserve">917.4</w:t>
            </w:r>
          </w:p>
        </w:tc>
      </w:tr>
      <w:tr>
        <w:tc>
          <w:p>
            <w:pPr>
              <w:pStyle w:val="Compact"/>
              <w:jc w:val="left"/>
            </w:pPr>
            <w:r>
              <w:t xml:space="preserve">Toukley - Norah Head</w:t>
            </w:r>
          </w:p>
        </w:tc>
        <w:tc>
          <w:p>
            <w:pPr>
              <w:pStyle w:val="Compact"/>
              <w:jc w:val="left"/>
            </w:pPr>
            <w:r>
              <w:t xml:space="preserve">4.9%</w:t>
            </w:r>
          </w:p>
        </w:tc>
        <w:tc>
          <w:p>
            <w:pPr>
              <w:pStyle w:val="Compact"/>
              <w:jc w:val="left"/>
            </w:pPr>
            <w:r>
              <w:t xml:space="preserve">482</w:t>
            </w:r>
          </w:p>
        </w:tc>
        <w:tc>
          <w:p>
            <w:pPr>
              <w:pStyle w:val="Compact"/>
              <w:jc w:val="left"/>
            </w:pPr>
            <w:r>
              <w:t xml:space="preserve">938.6</w:t>
            </w:r>
          </w:p>
        </w:tc>
      </w:tr>
    </w:tbl>
    <w:p>
      <w:pPr>
        <w:pStyle w:val="BodyText"/>
      </w:pPr>
      <w:r>
        <w:t xml:space="preserve">The five suburbs with the highest Indigenous population share are</w:t>
      </w:r>
      <w:r>
        <w:t xml:space="preserve"> </w:t>
      </w:r>
      <w:r>
        <w:rPr>
          <w:b/>
        </w:rPr>
        <w:t xml:space="preserve">all in the most disadvantaged quintile</w:t>
      </w:r>
      <w:r>
        <w:t xml:space="preserve"> </w:t>
      </w:r>
      <w:r>
        <w:t xml:space="preserve">(SEIFA-D &lt; 955).</w:t>
      </w:r>
      <w:r>
        <w:t xml:space="preserve"> </w:t>
      </w:r>
      <w:r>
        <w:rPr>
          <w:b/>
        </w:rPr>
        <w:t xml:space="preserve">Gorokan - Kanwal - Charmhaven</w:t>
      </w:r>
      <w:r>
        <w:t xml:space="preserve"> </w:t>
      </w:r>
      <w:r>
        <w:t xml:space="preserve">has the largest absolute Indigenous population (1,247) and should be prioritised for Indigenous-specific service delivery. The spatial overlap between Indigenous concentration and socioeconomic disadvantage reinforces the urgency of Closing the Gap investment in the northern Wyong corridor.</w:t>
      </w:r>
    </w:p>
    <w:p>
      <w:r>
        <w:pict>
          <v:rect style="width:0;height:1.5pt" o:hralign="center" o:hrstd="t" o:hr="t"/>
        </w:pict>
      </w:r>
    </w:p>
    <w:p>
      <w:pPr>
        <w:pStyle w:val="Heading2"/>
      </w:pPr>
      <w:bookmarkStart w:id="41" w:name="tourism-short-stay-economy"/>
      <w:r>
        <w:t xml:space="preserve">6. Tourism &amp; Short-Stay Economy</w:t>
      </w:r>
      <w:bookmarkEnd w:id="41"/>
    </w:p>
    <w:p>
      <w:pPr>
        <w:pStyle w:val="Heading3"/>
      </w:pPr>
      <w:bookmarkStart w:id="42" w:name="airbnb-performance"/>
      <w:r>
        <w:t xml:space="preserve">6.1 Airbnb Performance</w:t>
      </w:r>
      <w:bookmarkEnd w:id="42"/>
    </w:p>
    <w:p>
      <w:pPr>
        <w:pStyle w:val="FirstParagraph"/>
      </w:pPr>
      <w:r>
        <w:t xml:space="preserve">Short-stay accommodation activity has expanded significantly, with total Airbnb gross revenue reaching</w:t>
      </w:r>
      <w:r>
        <w:t xml:space="preserve"> </w:t>
      </w:r>
      <w:r>
        <w:rPr>
          <w:b/>
        </w:rPr>
        <w:t xml:space="preserve">$3.91M</w:t>
      </w:r>
      <w:r>
        <w:t xml:space="preserve"> </w:t>
      </w:r>
      <w:r>
        <w:t xml:space="preserve">across 1,692 active listings - up from $2.78M and 1,637 listings in the prior period.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Gross Revenue</w:t>
            </w:r>
          </w:p>
        </w:tc>
        <w:tc>
          <w:tcPr>
            <w:tcBorders>
              <w:bottom w:val="single"/>
            </w:tcBorders>
            <w:vAlign w:val="bottom"/>
          </w:tcPr>
          <w:p>
            <w:pPr>
              <w:pStyle w:val="Compact"/>
              <w:jc w:val="left"/>
            </w:pPr>
            <w:r>
              <w:t xml:space="preserve">Occupancy (%)</w:t>
            </w:r>
          </w:p>
        </w:tc>
        <w:tc>
          <w:tcPr>
            <w:tcBorders>
              <w:bottom w:val="single"/>
            </w:tcBorders>
            <w:vAlign w:val="bottom"/>
          </w:tcPr>
          <w:p>
            <w:pPr>
              <w:pStyle w:val="Compact"/>
              <w:jc w:val="left"/>
            </w:pPr>
            <w:r>
              <w:t xml:space="preserve">ADR ($)</w:t>
            </w:r>
          </w:p>
        </w:tc>
        <w:tc>
          <w:tcPr>
            <w:tcBorders>
              <w:bottom w:val="single"/>
            </w:tcBorders>
            <w:vAlign w:val="bottom"/>
          </w:tcPr>
          <w:p>
            <w:pPr>
              <w:pStyle w:val="Compact"/>
              <w:jc w:val="left"/>
            </w:pPr>
            <w:r>
              <w:t xml:space="preserve">Active Listings</w:t>
            </w:r>
          </w:p>
        </w:tc>
      </w:tr>
      <w:tr>
        <w:tc>
          <w:p>
            <w:pPr>
              <w:pStyle w:val="Compact"/>
              <w:jc w:val="left"/>
            </w:pPr>
            <w:r>
              <w:t xml:space="preserve">Avoca Beach - Copacabana</w:t>
            </w:r>
          </w:p>
        </w:tc>
        <w:tc>
          <w:p>
            <w:pPr>
              <w:pStyle w:val="Compact"/>
              <w:jc w:val="left"/>
            </w:pPr>
            <w:r>
              <w:t xml:space="preserve">$675,611</w:t>
            </w:r>
          </w:p>
        </w:tc>
        <w:tc>
          <w:p>
            <w:pPr>
              <w:pStyle w:val="Compact"/>
              <w:jc w:val="left"/>
            </w:pPr>
            <w:r>
              <w:t xml:space="preserve">18.5%</w:t>
            </w:r>
          </w:p>
        </w:tc>
        <w:tc>
          <w:p>
            <w:pPr>
              <w:pStyle w:val="Compact"/>
              <w:jc w:val="left"/>
            </w:pPr>
            <w:r>
              <w:t xml:space="preserve">$510</w:t>
            </w:r>
          </w:p>
        </w:tc>
        <w:tc>
          <w:p>
            <w:pPr>
              <w:pStyle w:val="Compact"/>
              <w:jc w:val="left"/>
            </w:pPr>
            <w:r>
              <w:t xml:space="preserve">347</w:t>
            </w:r>
          </w:p>
        </w:tc>
      </w:tr>
      <w:tr>
        <w:tc>
          <w:p>
            <w:pPr>
              <w:pStyle w:val="Compact"/>
              <w:jc w:val="left"/>
            </w:pPr>
            <w:r>
              <w:t xml:space="preserve">Terrigal - North Avoca</w:t>
            </w:r>
          </w:p>
        </w:tc>
        <w:tc>
          <w:p>
            <w:pPr>
              <w:pStyle w:val="Compact"/>
              <w:jc w:val="left"/>
            </w:pPr>
            <w:r>
              <w:t xml:space="preserve">$661,707</w:t>
            </w:r>
          </w:p>
        </w:tc>
        <w:tc>
          <w:p>
            <w:pPr>
              <w:pStyle w:val="Compact"/>
              <w:jc w:val="left"/>
            </w:pPr>
            <w:r>
              <w:t xml:space="preserve">22.5%</w:t>
            </w:r>
          </w:p>
        </w:tc>
        <w:tc>
          <w:p>
            <w:pPr>
              <w:pStyle w:val="Compact"/>
              <w:jc w:val="left"/>
            </w:pPr>
            <w:r>
              <w:t xml:space="preserve">$494</w:t>
            </w:r>
          </w:p>
        </w:tc>
        <w:tc>
          <w:p>
            <w:pPr>
              <w:pStyle w:val="Compact"/>
              <w:jc w:val="left"/>
            </w:pPr>
            <w:r>
              <w:t xml:space="preserve">268</w:t>
            </w:r>
          </w:p>
        </w:tc>
      </w:tr>
      <w:tr>
        <w:tc>
          <w:p>
            <w:pPr>
              <w:pStyle w:val="Compact"/>
              <w:jc w:val="left"/>
            </w:pPr>
            <w:r>
              <w:t xml:space="preserve">Umina - Booker Bay - Patonga</w:t>
            </w:r>
          </w:p>
        </w:tc>
        <w:tc>
          <w:p>
            <w:pPr>
              <w:pStyle w:val="Compact"/>
              <w:jc w:val="left"/>
            </w:pPr>
            <w:r>
              <w:t xml:space="preserve">$621,698</w:t>
            </w:r>
          </w:p>
        </w:tc>
        <w:tc>
          <w:p>
            <w:pPr>
              <w:pStyle w:val="Compact"/>
              <w:jc w:val="left"/>
            </w:pPr>
            <w:r>
              <w:t xml:space="preserve">23.3%</w:t>
            </w:r>
          </w:p>
        </w:tc>
        <w:tc>
          <w:p>
            <w:pPr>
              <w:pStyle w:val="Compact"/>
              <w:jc w:val="left"/>
            </w:pPr>
            <w:r>
              <w:t xml:space="preserve">$391</w:t>
            </w:r>
          </w:p>
        </w:tc>
        <w:tc>
          <w:p>
            <w:pPr>
              <w:pStyle w:val="Compact"/>
              <w:jc w:val="left"/>
            </w:pPr>
            <w:r>
              <w:t xml:space="preserve">301</w:t>
            </w:r>
          </w:p>
        </w:tc>
      </w:tr>
      <w:tr>
        <w:tc>
          <w:p>
            <w:pPr>
              <w:pStyle w:val="Compact"/>
              <w:jc w:val="left"/>
            </w:pPr>
            <w:r>
              <w:t xml:space="preserve">Box Head - MacMasters Beach</w:t>
            </w:r>
          </w:p>
        </w:tc>
        <w:tc>
          <w:p>
            <w:pPr>
              <w:pStyle w:val="Compact"/>
              <w:jc w:val="left"/>
            </w:pPr>
            <w:r>
              <w:t xml:space="preserve">$591,908</w:t>
            </w:r>
          </w:p>
        </w:tc>
        <w:tc>
          <w:p>
            <w:pPr>
              <w:pStyle w:val="Compact"/>
              <w:jc w:val="left"/>
            </w:pPr>
            <w:r>
              <w:t xml:space="preserve">18.8%</w:t>
            </w:r>
          </w:p>
        </w:tc>
        <w:tc>
          <w:p>
            <w:pPr>
              <w:pStyle w:val="Compact"/>
              <w:jc w:val="left"/>
            </w:pPr>
            <w:r>
              <w:t xml:space="preserve">$616</w:t>
            </w:r>
          </w:p>
        </w:tc>
        <w:tc>
          <w:p>
            <w:pPr>
              <w:pStyle w:val="Compact"/>
              <w:jc w:val="left"/>
            </w:pPr>
            <w:r>
              <w:t xml:space="preserve">202</w:t>
            </w:r>
          </w:p>
        </w:tc>
      </w:tr>
      <w:tr>
        <w:tc>
          <w:p>
            <w:pPr>
              <w:pStyle w:val="Compact"/>
              <w:jc w:val="left"/>
            </w:pPr>
            <w:r>
              <w:t xml:space="preserve">The Entrance</w:t>
            </w:r>
          </w:p>
        </w:tc>
        <w:tc>
          <w:p>
            <w:pPr>
              <w:pStyle w:val="Compact"/>
              <w:jc w:val="left"/>
            </w:pPr>
            <w:r>
              <w:t xml:space="preserve">$583,473</w:t>
            </w:r>
          </w:p>
        </w:tc>
        <w:tc>
          <w:p>
            <w:pPr>
              <w:pStyle w:val="Compact"/>
              <w:jc w:val="left"/>
            </w:pPr>
            <w:r>
              <w:t xml:space="preserve">26.8%</w:t>
            </w:r>
          </w:p>
        </w:tc>
        <w:tc>
          <w:p>
            <w:pPr>
              <w:pStyle w:val="Compact"/>
              <w:jc w:val="left"/>
            </w:pPr>
            <w:r>
              <w:t xml:space="preserve">$381</w:t>
            </w:r>
          </w:p>
        </w:tc>
        <w:tc>
          <w:p>
            <w:pPr>
              <w:pStyle w:val="Compact"/>
              <w:jc w:val="left"/>
            </w:pPr>
            <w:r>
              <w:t xml:space="preserve">296</w:t>
            </w:r>
          </w:p>
        </w:tc>
      </w:tr>
      <w:tr>
        <w:tc>
          <w:p>
            <w:pPr>
              <w:pStyle w:val="Compact"/>
              <w:jc w:val="left"/>
            </w:pPr>
            <w:r>
              <w:t xml:space="preserve">Wamberal - Forresters Beach</w:t>
            </w:r>
          </w:p>
        </w:tc>
        <w:tc>
          <w:p>
            <w:pPr>
              <w:pStyle w:val="Compact"/>
              <w:jc w:val="left"/>
            </w:pPr>
            <w:r>
              <w:t xml:space="preserve">$336,195</w:t>
            </w:r>
          </w:p>
        </w:tc>
        <w:tc>
          <w:p>
            <w:pPr>
              <w:pStyle w:val="Compact"/>
              <w:jc w:val="left"/>
            </w:pPr>
            <w:r>
              <w:t xml:space="preserve">22.0%</w:t>
            </w:r>
          </w:p>
        </w:tc>
        <w:tc>
          <w:p>
            <w:pPr>
              <w:pStyle w:val="Compact"/>
              <w:jc w:val="left"/>
            </w:pPr>
            <w:r>
              <w:t xml:space="preserve">$537</w:t>
            </w:r>
          </w:p>
        </w:tc>
        <w:tc>
          <w:p>
            <w:pPr>
              <w:pStyle w:val="Compact"/>
              <w:jc w:val="left"/>
            </w:pPr>
            <w:r>
              <w:t xml:space="preserve">121</w:t>
            </w:r>
          </w:p>
        </w:tc>
      </w:tr>
      <w:tr>
        <w:tc>
          <w:p>
            <w:pPr>
              <w:pStyle w:val="Compact"/>
              <w:jc w:val="left"/>
            </w:pPr>
            <w:r>
              <w:t xml:space="preserve">Toukley - Norah Head</w:t>
            </w:r>
          </w:p>
        </w:tc>
        <w:tc>
          <w:p>
            <w:pPr>
              <w:pStyle w:val="Compact"/>
              <w:jc w:val="left"/>
            </w:pPr>
            <w:r>
              <w:t xml:space="preserve">$191,867</w:t>
            </w:r>
          </w:p>
        </w:tc>
        <w:tc>
          <w:p>
            <w:pPr>
              <w:pStyle w:val="Compact"/>
              <w:jc w:val="left"/>
            </w:pPr>
            <w:r>
              <w:t xml:space="preserve">26.0%</w:t>
            </w:r>
          </w:p>
        </w:tc>
        <w:tc>
          <w:p>
            <w:pPr>
              <w:pStyle w:val="Compact"/>
              <w:jc w:val="left"/>
            </w:pPr>
            <w:r>
              <w:t xml:space="preserve">$336</w:t>
            </w:r>
          </w:p>
        </w:tc>
        <w:tc>
          <w:p>
            <w:pPr>
              <w:pStyle w:val="Compact"/>
              <w:jc w:val="left"/>
            </w:pPr>
            <w:r>
              <w:t xml:space="preserve">65</w:t>
            </w:r>
          </w:p>
        </w:tc>
      </w:tr>
      <w:tr>
        <w:tc>
          <w:p>
            <w:pPr>
              <w:pStyle w:val="Compact"/>
              <w:jc w:val="left"/>
            </w:pPr>
            <w:r>
              <w:t xml:space="preserve">Bateau Bay - Killarney Vale</w:t>
            </w:r>
          </w:p>
        </w:tc>
        <w:tc>
          <w:p>
            <w:pPr>
              <w:pStyle w:val="Compact"/>
              <w:jc w:val="left"/>
            </w:pPr>
            <w:r>
              <w:t xml:space="preserve">$119,564</w:t>
            </w:r>
          </w:p>
        </w:tc>
        <w:tc>
          <w:p>
            <w:pPr>
              <w:pStyle w:val="Compact"/>
              <w:jc w:val="left"/>
            </w:pPr>
            <w:r>
              <w:t xml:space="preserve">43.0%</w:t>
            </w:r>
          </w:p>
        </w:tc>
        <w:tc>
          <w:p>
            <w:pPr>
              <w:pStyle w:val="Compact"/>
              <w:jc w:val="left"/>
            </w:pPr>
            <w:r>
              <w:t xml:space="preserve">$245</w:t>
            </w:r>
          </w:p>
        </w:tc>
        <w:tc>
          <w:p>
            <w:pPr>
              <w:pStyle w:val="Compact"/>
              <w:jc w:val="left"/>
            </w:pPr>
            <w:r>
              <w:t xml:space="preserve">50</w:t>
            </w:r>
          </w:p>
        </w:tc>
      </w:tr>
      <w:tr>
        <w:tc>
          <w:p>
            <w:pPr>
              <w:pStyle w:val="Compact"/>
              <w:jc w:val="left"/>
            </w:pPr>
            <w:r>
              <w:t xml:space="preserve">Woy Woy - Blackwall</w:t>
            </w:r>
          </w:p>
        </w:tc>
        <w:tc>
          <w:p>
            <w:pPr>
              <w:pStyle w:val="Compact"/>
              <w:jc w:val="left"/>
            </w:pPr>
            <w:r>
              <w:t xml:space="preserve">$107,640</w:t>
            </w:r>
          </w:p>
        </w:tc>
        <w:tc>
          <w:p>
            <w:pPr>
              <w:pStyle w:val="Compact"/>
              <w:jc w:val="left"/>
            </w:pPr>
            <w:r>
              <w:t xml:space="preserve">33.0%</w:t>
            </w:r>
          </w:p>
        </w:tc>
        <w:tc>
          <w:p>
            <w:pPr>
              <w:pStyle w:val="Compact"/>
              <w:jc w:val="left"/>
            </w:pPr>
            <w:r>
              <w:t xml:space="preserve">$402</w:t>
            </w:r>
          </w:p>
        </w:tc>
        <w:tc>
          <w:p>
            <w:pPr>
              <w:pStyle w:val="Compact"/>
              <w:jc w:val="left"/>
            </w:pPr>
            <w:r>
              <w:t xml:space="preserve">31</w:t>
            </w:r>
          </w:p>
        </w:tc>
      </w:tr>
      <w:tr>
        <w:tc>
          <w:p>
            <w:pPr>
              <w:pStyle w:val="Compact"/>
              <w:jc w:val="left"/>
            </w:pPr>
            <w:r>
              <w:t xml:space="preserve">Kincumber - Picketts Valley</w:t>
            </w:r>
          </w:p>
        </w:tc>
        <w:tc>
          <w:p>
            <w:pPr>
              <w:pStyle w:val="Compact"/>
              <w:jc w:val="left"/>
            </w:pPr>
            <w:r>
              <w:t xml:space="preserve">$20,661</w:t>
            </w:r>
          </w:p>
        </w:tc>
        <w:tc>
          <w:p>
            <w:pPr>
              <w:pStyle w:val="Compact"/>
              <w:jc w:val="left"/>
            </w:pPr>
            <w:r>
              <w:t xml:space="preserve">20.0%</w:t>
            </w:r>
          </w:p>
        </w:tc>
        <w:tc>
          <w:p>
            <w:pPr>
              <w:pStyle w:val="Compact"/>
              <w:jc w:val="left"/>
            </w:pPr>
            <w:r>
              <w:t xml:space="preserve">$517</w:t>
            </w:r>
          </w:p>
        </w:tc>
        <w:tc>
          <w:p>
            <w:pPr>
              <w:pStyle w:val="Compact"/>
              <w:jc w:val="left"/>
            </w:pPr>
            <w:r>
              <w:t xml:space="preserve">10</w:t>
            </w:r>
          </w:p>
        </w:tc>
      </w:tr>
    </w:tbl>
    <w:p>
      <w:pPr>
        <w:pStyle w:val="BodyText"/>
      </w:pPr>
      <w:r>
        <w:rPr>
          <w:b/>
        </w:rPr>
        <w:t xml:space="preserve">Key patterns:</w:t>
      </w:r>
      <w:r>
        <w:t xml:space="preserve"> </w:t>
      </w:r>
      <w:r>
        <w:t xml:space="preserve">-</w:t>
      </w:r>
      <w:r>
        <w:t xml:space="preserve"> </w:t>
      </w:r>
      <w:r>
        <w:rPr>
          <w:b/>
        </w:rPr>
        <w:t xml:space="preserve">Box Head - MacMasters Beach</w:t>
      </w:r>
      <w:r>
        <w:t xml:space="preserve"> </w:t>
      </w:r>
      <w:r>
        <w:t xml:space="preserve">now commands the highest ADR ($616), displacing Wamberal as the top-yield short-stay destination - consistent with its position as the top house rent suburb ($1,086/wk)</w:t>
      </w:r>
      <w:r>
        <w:t xml:space="preserve"> </w:t>
      </w:r>
      <w:r>
        <w:t xml:space="preserve">-</w:t>
      </w:r>
      <w:r>
        <w:t xml:space="preserve"> </w:t>
      </w:r>
      <w:r>
        <w:rPr>
          <w:b/>
        </w:rPr>
        <w:t xml:space="preserve">Avoca Beach - Copacabana</w:t>
      </w:r>
      <w:r>
        <w:t xml:space="preserve"> </w:t>
      </w:r>
      <w:r>
        <w:t xml:space="preserve">generates highest total revenue ($675k) through volume (347 listings) - a 27% increase on the prior period</w:t>
      </w:r>
      <w:r>
        <w:t xml:space="preserve"> </w:t>
      </w:r>
      <w:r>
        <w:t xml:space="preserve">-</w:t>
      </w:r>
      <w:r>
        <w:t xml:space="preserve"> </w:t>
      </w:r>
      <w:r>
        <w:rPr>
          <w:b/>
        </w:rPr>
        <w:t xml:space="preserve">Bateau Bay - Killarney Vale</w:t>
      </w:r>
      <w:r>
        <w:t xml:space="preserve"> </w:t>
      </w:r>
      <w:r>
        <w:t xml:space="preserve">achieves the highest occupancy (43%) at a budget ADR ($245) - serving a high-volume, lower-yield family/group segment</w:t>
      </w:r>
      <w:r>
        <w:t xml:space="preserve"> </w:t>
      </w:r>
      <w:r>
        <w:t xml:space="preserve">-</w:t>
      </w:r>
      <w:r>
        <w:t xml:space="preserve"> </w:t>
      </w:r>
      <w:r>
        <w:rPr>
          <w:b/>
        </w:rPr>
        <w:t xml:space="preserve">The Entrance</w:t>
      </w:r>
      <w:r>
        <w:t xml:space="preserve"> </w:t>
      </w:r>
      <w:r>
        <w:t xml:space="preserve">has grown strongly (296 listings, 26.8% occupancy) - positioned as a mid-tier coastal destination competing on accessibility and price</w:t>
      </w:r>
    </w:p>
    <w:p>
      <w:pPr>
        <w:pStyle w:val="BodyText"/>
      </w:pPr>
      <w:r>
        <w:t xml:space="preserve">The 41% revenue increase across the portfolio signals that short-stay accommodation is actively competing with long-term rental stock in coastal suburbs, contributing to reduced rental availability and upward pressure on rents.</w:t>
      </w:r>
    </w:p>
    <w:p>
      <w:pPr>
        <w:pStyle w:val="Heading3"/>
      </w:pPr>
      <w:bookmarkStart w:id="43" w:name="visitor-vs-resident-economic-activity"/>
      <w:r>
        <w:t xml:space="preserve">6.2 Visitor vs Resident Economic Activity</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Total Value</w:t>
            </w:r>
          </w:p>
        </w:tc>
        <w:tc>
          <w:tcPr>
            <w:tcBorders>
              <w:bottom w:val="single"/>
            </w:tcBorders>
            <w:vAlign w:val="bottom"/>
          </w:tcPr>
          <w:p>
            <w:pPr>
              <w:pStyle w:val="Compact"/>
              <w:jc w:val="left"/>
            </w:pPr>
            <w:r>
              <w:t xml:space="preserve">% of Total</w:t>
            </w:r>
          </w:p>
        </w:tc>
      </w:tr>
      <w:tr>
        <w:tc>
          <w:p>
            <w:pPr>
              <w:pStyle w:val="Compact"/>
              <w:jc w:val="left"/>
            </w:pPr>
            <w:r>
              <w:t xml:space="preserve">Visitor Spend</w:t>
            </w:r>
          </w:p>
        </w:tc>
        <w:tc>
          <w:p>
            <w:pPr>
              <w:pStyle w:val="Compact"/>
              <w:jc w:val="left"/>
            </w:pPr>
            <w:r>
              <w:t xml:space="preserve">$69,076,000</w:t>
            </w:r>
          </w:p>
        </w:tc>
        <w:tc>
          <w:p>
            <w:pPr>
              <w:pStyle w:val="Compact"/>
              <w:jc w:val="left"/>
            </w:pPr>
            <w:r>
              <w:t xml:space="preserve">16.8%</w:t>
            </w:r>
          </w:p>
        </w:tc>
      </w:tr>
      <w:tr>
        <w:tc>
          <w:p>
            <w:pPr>
              <w:pStyle w:val="Compact"/>
              <w:jc w:val="left"/>
            </w:pPr>
            <w:r>
              <w:t xml:space="preserve">Resident Spend</w:t>
            </w:r>
          </w:p>
        </w:tc>
        <w:tc>
          <w:p>
            <w:pPr>
              <w:pStyle w:val="Compact"/>
              <w:jc w:val="left"/>
            </w:pPr>
            <w:r>
              <w:t xml:space="preserve">$341,471,000</w:t>
            </w:r>
          </w:p>
        </w:tc>
        <w:tc>
          <w:p>
            <w:pPr>
              <w:pStyle w:val="Compact"/>
              <w:jc w:val="left"/>
            </w:pPr>
            <w:r>
              <w:t xml:space="preserve">83.2%</w:t>
            </w:r>
          </w:p>
        </w:tc>
      </w:tr>
      <w:tr>
        <w:tc>
          <w:p>
            <w:pPr>
              <w:pStyle w:val="Compact"/>
              <w:jc w:val="left"/>
            </w:pPr>
            <w:r>
              <w:rPr>
                <w:b/>
              </w:rPr>
              <w:t xml:space="preserve">Total Economic Activity</w:t>
            </w:r>
          </w:p>
        </w:tc>
        <w:tc>
          <w:p>
            <w:pPr>
              <w:pStyle w:val="Compact"/>
              <w:jc w:val="left"/>
            </w:pPr>
            <w:r>
              <w:rPr>
                <w:b/>
              </w:rPr>
              <w:t xml:space="preserve">$410,547,000</w:t>
            </w:r>
          </w:p>
        </w:tc>
        <w:tc>
          <w:p>
            <w:pPr>
              <w:pStyle w:val="Compact"/>
              <w:jc w:val="left"/>
            </w:pPr>
            <w:r>
              <w:t xml:space="preserve">100%</w:t>
            </w:r>
          </w:p>
        </w:tc>
      </w:tr>
    </w:tbl>
    <w:p>
      <w:pPr>
        <w:pStyle w:val="BodyText"/>
      </w:pPr>
      <w:r>
        <w:rPr>
          <w:b/>
        </w:rPr>
        <w:t xml:space="preserve">Top visitor spend suburbs: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Visitor Spend</w:t>
            </w:r>
          </w:p>
        </w:tc>
        <w:tc>
          <w:tcPr>
            <w:tcBorders>
              <w:bottom w:val="single"/>
            </w:tcBorders>
            <w:vAlign w:val="bottom"/>
          </w:tcPr>
          <w:p>
            <w:pPr>
              <w:pStyle w:val="Compact"/>
              <w:jc w:val="left"/>
            </w:pPr>
            <w:r>
              <w:t xml:space="preserve">Resident Spend</w:t>
            </w:r>
          </w:p>
        </w:tc>
        <w:tc>
          <w:tcPr>
            <w:tcBorders>
              <w:bottom w:val="single"/>
            </w:tcBorders>
            <w:vAlign w:val="bottom"/>
          </w:tcPr>
          <w:p>
            <w:pPr>
              <w:pStyle w:val="Compact"/>
              <w:jc w:val="left"/>
            </w:pPr>
            <w:r>
              <w:t xml:space="preserve">Visitor Share</w:t>
            </w:r>
          </w:p>
        </w:tc>
      </w:tr>
      <w:tr>
        <w:tc>
          <w:p>
            <w:pPr>
              <w:pStyle w:val="Compact"/>
              <w:jc w:val="left"/>
            </w:pPr>
            <w:r>
              <w:t xml:space="preserve">Umina - Booker Bay - Patonga</w:t>
            </w:r>
          </w:p>
        </w:tc>
        <w:tc>
          <w:p>
            <w:pPr>
              <w:pStyle w:val="Compact"/>
              <w:jc w:val="left"/>
            </w:pPr>
            <w:r>
              <w:t xml:space="preserve">$3,973,000</w:t>
            </w:r>
          </w:p>
        </w:tc>
        <w:tc>
          <w:p>
            <w:pPr>
              <w:pStyle w:val="Compact"/>
              <w:jc w:val="left"/>
            </w:pPr>
            <w:r>
              <w:t xml:space="preserve">$17,945,000</w:t>
            </w:r>
          </w:p>
        </w:tc>
        <w:tc>
          <w:p>
            <w:pPr>
              <w:pStyle w:val="Compact"/>
              <w:jc w:val="left"/>
            </w:pPr>
            <w:r>
              <w:t xml:space="preserve">18.1%</w:t>
            </w:r>
          </w:p>
        </w:tc>
      </w:tr>
      <w:tr>
        <w:tc>
          <w:p>
            <w:pPr>
              <w:pStyle w:val="Compact"/>
              <w:jc w:val="left"/>
            </w:pPr>
            <w:r>
              <w:t xml:space="preserve">The Entrance</w:t>
            </w:r>
          </w:p>
        </w:tc>
        <w:tc>
          <w:p>
            <w:pPr>
              <w:pStyle w:val="Compact"/>
              <w:jc w:val="left"/>
            </w:pPr>
            <w:r>
              <w:t xml:space="preserve">$4,029,000</w:t>
            </w:r>
          </w:p>
        </w:tc>
        <w:tc>
          <w:p>
            <w:pPr>
              <w:pStyle w:val="Compact"/>
              <w:jc w:val="left"/>
            </w:pPr>
            <w:r>
              <w:t xml:space="preserve">$10,856,000</w:t>
            </w:r>
          </w:p>
        </w:tc>
        <w:tc>
          <w:p>
            <w:pPr>
              <w:pStyle w:val="Compact"/>
              <w:jc w:val="left"/>
            </w:pPr>
            <w:r>
              <w:t xml:space="preserve">27.1%</w:t>
            </w:r>
          </w:p>
        </w:tc>
      </w:tr>
      <w:tr>
        <w:tc>
          <w:p>
            <w:pPr>
              <w:pStyle w:val="Compact"/>
              <w:jc w:val="left"/>
            </w:pPr>
            <w:r>
              <w:t xml:space="preserve">Terrigal - North Avoca</w:t>
            </w:r>
          </w:p>
        </w:tc>
        <w:tc>
          <w:p>
            <w:pPr>
              <w:pStyle w:val="Compact"/>
              <w:jc w:val="left"/>
            </w:pPr>
            <w:r>
              <w:t xml:space="preserve">$3,385,000</w:t>
            </w:r>
          </w:p>
        </w:tc>
        <w:tc>
          <w:p>
            <w:pPr>
              <w:pStyle w:val="Compact"/>
              <w:jc w:val="left"/>
            </w:pPr>
            <w:r>
              <w:t xml:space="preserve">$6,659,000</w:t>
            </w:r>
          </w:p>
        </w:tc>
        <w:tc>
          <w:p>
            <w:pPr>
              <w:pStyle w:val="Compact"/>
              <w:jc w:val="left"/>
            </w:pPr>
            <w:r>
              <w:t xml:space="preserve">33.7%</w:t>
            </w:r>
          </w:p>
        </w:tc>
      </w:tr>
      <w:tr>
        <w:tc>
          <w:p>
            <w:pPr>
              <w:pStyle w:val="Compact"/>
              <w:jc w:val="left"/>
            </w:pPr>
            <w:r>
              <w:t xml:space="preserve">Wyong</w:t>
            </w:r>
          </w:p>
        </w:tc>
        <w:tc>
          <w:p>
            <w:pPr>
              <w:pStyle w:val="Compact"/>
              <w:jc w:val="left"/>
            </w:pPr>
            <w:r>
              <w:t xml:space="preserve">$3,995,000</w:t>
            </w:r>
          </w:p>
        </w:tc>
        <w:tc>
          <w:p>
            <w:pPr>
              <w:pStyle w:val="Compact"/>
              <w:jc w:val="left"/>
            </w:pPr>
            <w:r>
              <w:t xml:space="preserve">$9,216,000</w:t>
            </w:r>
          </w:p>
        </w:tc>
        <w:tc>
          <w:p>
            <w:pPr>
              <w:pStyle w:val="Compact"/>
              <w:jc w:val="left"/>
            </w:pPr>
            <w:r>
              <w:t xml:space="preserve">30.2%</w:t>
            </w:r>
          </w:p>
        </w:tc>
      </w:tr>
      <w:tr>
        <w:tc>
          <w:p>
            <w:pPr>
              <w:pStyle w:val="Compact"/>
              <w:jc w:val="left"/>
            </w:pPr>
            <w:r>
              <w:t xml:space="preserve">Gosford - Springfield</w:t>
            </w:r>
          </w:p>
        </w:tc>
        <w:tc>
          <w:p>
            <w:pPr>
              <w:pStyle w:val="Compact"/>
              <w:jc w:val="left"/>
            </w:pPr>
            <w:r>
              <w:t xml:space="preserve">$6,741,000</w:t>
            </w:r>
          </w:p>
        </w:tc>
        <w:tc>
          <w:p>
            <w:pPr>
              <w:pStyle w:val="Compact"/>
              <w:jc w:val="left"/>
            </w:pPr>
            <w:r>
              <w:t xml:space="preserve">$42,476,000</w:t>
            </w:r>
          </w:p>
        </w:tc>
        <w:tc>
          <w:p>
            <w:pPr>
              <w:pStyle w:val="Compact"/>
              <w:jc w:val="left"/>
            </w:pPr>
            <w:r>
              <w:t xml:space="preserve">13.7%</w:t>
            </w:r>
          </w:p>
        </w:tc>
      </w:tr>
    </w:tbl>
    <w:p>
      <w:pPr>
        <w:pStyle w:val="BodyText"/>
      </w:pPr>
      <w:r>
        <w:rPr>
          <w:b/>
        </w:rPr>
        <w:t xml:space="preserve">Terrigal - North Avoca</w:t>
      </w:r>
      <w:r>
        <w:t xml:space="preserve"> </w:t>
      </w:r>
      <w:r>
        <w:t xml:space="preserve">has the highest visitor share of any suburb with substantial activity (33.7%) - consistent with its premium coastal hospitality positioning.</w:t>
      </w:r>
      <w:r>
        <w:t xml:space="preserve"> </w:t>
      </w:r>
      <w:r>
        <w:rPr>
          <w:b/>
        </w:rPr>
        <w:t xml:space="preserve">Jilliby - Yarramalong</w:t>
      </w:r>
      <w:r>
        <w:t xml:space="preserve"> </w:t>
      </w:r>
      <w:r>
        <w:t xml:space="preserve">continues to generate visitor spend ($2,884,000) that substantially exceeds its resident spend ($631,000) - a visitor-to-resident ratio of</w:t>
      </w:r>
      <w:r>
        <w:t xml:space="preserve"> </w:t>
      </w:r>
      <w:r>
        <w:rPr>
          <w:b/>
        </w:rPr>
        <w:t xml:space="preserve">4.6:1</w:t>
      </w:r>
      <w:r>
        <w:t xml:space="preserve">, reflecting its character as a rural tourism/events destination.</w:t>
      </w:r>
    </w:p>
    <w:p>
      <w:pPr>
        <w:pStyle w:val="BodyText"/>
      </w:pPr>
      <w:r>
        <w:rPr>
          <w:b/>
        </w:rPr>
        <w:t xml:space="preserve">Policy implication:</w:t>
      </w:r>
      <w:r>
        <w:t xml:space="preserve"> </w:t>
      </w:r>
      <w:r>
        <w:t xml:space="preserve">While tourism contributes meaningfully, the regional economy is fundamentally driven by its permanent resident base (83% of tracked activity). Employment support, income growth, and local business development for residents should take precedence over tourism promotion in economic development strategy.</w:t>
      </w:r>
    </w:p>
    <w:p>
      <w:r>
        <w:pict>
          <v:rect style="width:0;height:1.5pt" o:hralign="center" o:hrstd="t" o:hr="t"/>
        </w:pict>
      </w:r>
    </w:p>
    <w:p>
      <w:pPr>
        <w:pStyle w:val="Heading2"/>
      </w:pPr>
      <w:bookmarkStart w:id="44" w:name="homelessness-housing-vulnerability"/>
      <w:r>
        <w:t xml:space="preserve">7. Homelessness &amp; Housing Vulnerability</w:t>
      </w:r>
      <w:bookmarkEnd w:id="44"/>
    </w:p>
    <w:p>
      <w:pPr>
        <w:pStyle w:val="Heading3"/>
      </w:pPr>
      <w:bookmarkStart w:id="45" w:name="homelessness-distribution"/>
      <w:r>
        <w:t xml:space="preserve">7.1 Homelessness Distribution</w:t>
      </w:r>
      <w:bookmarkEnd w:id="45"/>
    </w:p>
    <w:p>
      <w:pPr>
        <w:pStyle w:val="FirstParagraph"/>
      </w:pPr>
      <w:r>
        <w:t xml:space="preserve">Total homelessness count across the LGA:</w:t>
      </w:r>
      <w:r>
        <w:t xml:space="preserve"> </w:t>
      </w:r>
      <w:r>
        <w:rPr>
          <w:b/>
        </w:rPr>
        <w:t xml:space="preserve">1,740 persons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Homelessness Count</w:t>
            </w:r>
          </w:p>
        </w:tc>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Rate per 1,000</w:t>
            </w:r>
          </w:p>
        </w:tc>
      </w:tr>
      <w:tr>
        <w:tc>
          <w:p>
            <w:pPr>
              <w:pStyle w:val="Compact"/>
              <w:jc w:val="left"/>
            </w:pPr>
            <w:r>
              <w:t xml:space="preserve">Wyong SA3</w:t>
            </w:r>
          </w:p>
        </w:tc>
        <w:tc>
          <w:p>
            <w:pPr>
              <w:pStyle w:val="Compact"/>
              <w:jc w:val="left"/>
            </w:pPr>
            <w:r>
              <w:t xml:space="preserve">1,170</w:t>
            </w:r>
          </w:p>
        </w:tc>
        <w:tc>
          <w:p>
            <w:pPr>
              <w:pStyle w:val="Compact"/>
              <w:jc w:val="left"/>
            </w:pPr>
            <w:r>
              <w:t xml:space="preserve">173,145</w:t>
            </w:r>
          </w:p>
        </w:tc>
        <w:tc>
          <w:p>
            <w:pPr>
              <w:pStyle w:val="Compact"/>
              <w:jc w:val="left"/>
            </w:pPr>
            <w:r>
              <w:t xml:space="preserve">6.8</w:t>
            </w:r>
          </w:p>
        </w:tc>
      </w:tr>
      <w:tr>
        <w:tc>
          <w:p>
            <w:pPr>
              <w:pStyle w:val="Compact"/>
              <w:jc w:val="left"/>
            </w:pPr>
            <w:r>
              <w:t xml:space="preserve">Gosford SA3</w:t>
            </w:r>
          </w:p>
        </w:tc>
        <w:tc>
          <w:p>
            <w:pPr>
              <w:pStyle w:val="Compact"/>
              <w:jc w:val="left"/>
            </w:pPr>
            <w:r>
              <w:t xml:space="preserve">570</w:t>
            </w:r>
          </w:p>
        </w:tc>
        <w:tc>
          <w:p>
            <w:pPr>
              <w:pStyle w:val="Compact"/>
              <w:jc w:val="left"/>
            </w:pPr>
            <w:r>
              <w:t xml:space="preserve">181,658</w:t>
            </w:r>
          </w:p>
        </w:tc>
        <w:tc>
          <w:p>
            <w:pPr>
              <w:pStyle w:val="Compact"/>
              <w:jc w:val="left"/>
            </w:pPr>
            <w:r>
              <w:t xml:space="preserve">3.1</w:t>
            </w:r>
          </w:p>
        </w:tc>
      </w:tr>
      <w:tr>
        <w:tc>
          <w:p>
            <w:pPr>
              <w:pStyle w:val="Compact"/>
              <w:jc w:val="left"/>
            </w:pPr>
            <w:r>
              <w:rPr>
                <w:b/>
              </w:rPr>
              <w:t xml:space="preserve">LGA Total</w:t>
            </w:r>
          </w:p>
        </w:tc>
        <w:tc>
          <w:p>
            <w:pPr>
              <w:pStyle w:val="Compact"/>
              <w:jc w:val="left"/>
            </w:pPr>
            <w:r>
              <w:rPr>
                <w:b/>
              </w:rPr>
              <w:t xml:space="preserve">1,740</w:t>
            </w:r>
          </w:p>
        </w:tc>
        <w:tc>
          <w:p>
            <w:pPr>
              <w:pStyle w:val="Compact"/>
              <w:jc w:val="left"/>
            </w:pPr>
            <w:r>
              <w:rPr>
                <w:b/>
              </w:rPr>
              <w:t xml:space="preserve">354,803</w:t>
            </w:r>
          </w:p>
        </w:tc>
        <w:tc>
          <w:p>
            <w:pPr>
              <w:pStyle w:val="Compact"/>
              <w:jc w:val="left"/>
            </w:pPr>
            <w:r>
              <w:rPr>
                <w:b/>
              </w:rPr>
              <w:t xml:space="preserve">4.9</w:t>
            </w:r>
          </w:p>
        </w:tc>
      </w:tr>
    </w:tbl>
    <w:p>
      <w:pPr>
        <w:pStyle w:val="BodyText"/>
      </w:pPr>
      <w:r>
        <w:t xml:space="preserve">Wyong records</w:t>
      </w:r>
      <w:r>
        <w:t xml:space="preserve"> </w:t>
      </w:r>
      <w:r>
        <w:rPr>
          <w:b/>
        </w:rPr>
        <w:t xml:space="preserve">more than double</w:t>
      </w:r>
      <w:r>
        <w:t xml:space="preserve"> </w:t>
      </w:r>
      <w:r>
        <w:t xml:space="preserve">the homelessness rate of Gosford (6.8 vs 3.1 per 1,000 population).</w:t>
      </w:r>
    </w:p>
    <w:p>
      <w:pPr>
        <w:pStyle w:val="BodyText"/>
      </w:pPr>
      <w:r>
        <w:rPr>
          <w:b/>
        </w:rPr>
        <w:t xml:space="preserve">Highest homelessness suburbs: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Homeless Count</w:t>
            </w:r>
          </w:p>
        </w:tc>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Rate per 1,000</w:t>
            </w:r>
          </w:p>
        </w:tc>
      </w:tr>
      <w:tr>
        <w:tc>
          <w:p>
            <w:pPr>
              <w:pStyle w:val="Compact"/>
              <w:jc w:val="left"/>
            </w:pPr>
            <w:r>
              <w:t xml:space="preserve">The Entrance</w:t>
            </w:r>
          </w:p>
        </w:tc>
        <w:tc>
          <w:p>
            <w:pPr>
              <w:pStyle w:val="Compact"/>
              <w:jc w:val="left"/>
            </w:pPr>
            <w:r>
              <w:t xml:space="preserve">273</w:t>
            </w:r>
          </w:p>
        </w:tc>
        <w:tc>
          <w:p>
            <w:pPr>
              <w:pStyle w:val="Compact"/>
              <w:jc w:val="left"/>
            </w:pPr>
            <w:r>
              <w:t xml:space="preserve">16,155</w:t>
            </w:r>
          </w:p>
        </w:tc>
        <w:tc>
          <w:p>
            <w:pPr>
              <w:pStyle w:val="Compact"/>
              <w:jc w:val="left"/>
            </w:pPr>
            <w:r>
              <w:t xml:space="preserve">16.9</w:t>
            </w:r>
          </w:p>
        </w:tc>
      </w:tr>
      <w:tr>
        <w:tc>
          <w:p>
            <w:pPr>
              <w:pStyle w:val="Compact"/>
              <w:jc w:val="left"/>
            </w:pPr>
            <w:r>
              <w:t xml:space="preserve">Wyong</w:t>
            </w:r>
          </w:p>
        </w:tc>
        <w:tc>
          <w:p>
            <w:pPr>
              <w:pStyle w:val="Compact"/>
              <w:jc w:val="left"/>
            </w:pPr>
            <w:r>
              <w:t xml:space="preserve">236</w:t>
            </w:r>
          </w:p>
        </w:tc>
        <w:tc>
          <w:p>
            <w:pPr>
              <w:pStyle w:val="Compact"/>
              <w:jc w:val="left"/>
            </w:pPr>
            <w:r>
              <w:t xml:space="preserve">9,360</w:t>
            </w:r>
          </w:p>
        </w:tc>
        <w:tc>
          <w:p>
            <w:pPr>
              <w:pStyle w:val="Compact"/>
              <w:jc w:val="left"/>
            </w:pPr>
            <w:r>
              <w:t xml:space="preserve">25.2</w:t>
            </w:r>
          </w:p>
        </w:tc>
      </w:tr>
      <w:tr>
        <w:tc>
          <w:p>
            <w:pPr>
              <w:pStyle w:val="Compact"/>
              <w:jc w:val="left"/>
            </w:pPr>
            <w:r>
              <w:t xml:space="preserve">Gosford - Springfield</w:t>
            </w:r>
          </w:p>
        </w:tc>
        <w:tc>
          <w:p>
            <w:pPr>
              <w:pStyle w:val="Compact"/>
              <w:jc w:val="left"/>
            </w:pPr>
            <w:r>
              <w:t xml:space="preserve">160</w:t>
            </w:r>
          </w:p>
        </w:tc>
        <w:tc>
          <w:p>
            <w:pPr>
              <w:pStyle w:val="Compact"/>
              <w:jc w:val="left"/>
            </w:pPr>
            <w:r>
              <w:t xml:space="preserve">22,599</w:t>
            </w:r>
          </w:p>
        </w:tc>
        <w:tc>
          <w:p>
            <w:pPr>
              <w:pStyle w:val="Compact"/>
              <w:jc w:val="left"/>
            </w:pPr>
            <w:r>
              <w:t xml:space="preserve">7.1</w:t>
            </w:r>
          </w:p>
        </w:tc>
      </w:tr>
      <w:tr>
        <w:tc>
          <w:p>
            <w:pPr>
              <w:pStyle w:val="Compact"/>
              <w:jc w:val="left"/>
            </w:pPr>
            <w:r>
              <w:t xml:space="preserve">Gorokan - Kanwal - Charmhaven</w:t>
            </w:r>
          </w:p>
        </w:tc>
        <w:tc>
          <w:p>
            <w:pPr>
              <w:pStyle w:val="Compact"/>
              <w:jc w:val="left"/>
            </w:pPr>
            <w:r>
              <w:t xml:space="preserve">138</w:t>
            </w:r>
          </w:p>
        </w:tc>
        <w:tc>
          <w:p>
            <w:pPr>
              <w:pStyle w:val="Compact"/>
              <w:jc w:val="left"/>
            </w:pPr>
            <w:r>
              <w:t xml:space="preserve">22,740</w:t>
            </w:r>
          </w:p>
        </w:tc>
        <w:tc>
          <w:p>
            <w:pPr>
              <w:pStyle w:val="Compact"/>
              <w:jc w:val="left"/>
            </w:pPr>
            <w:r>
              <w:t xml:space="preserve">6.1</w:t>
            </w:r>
          </w:p>
        </w:tc>
      </w:tr>
      <w:tr>
        <w:tc>
          <w:p>
            <w:pPr>
              <w:pStyle w:val="Compact"/>
              <w:jc w:val="left"/>
            </w:pPr>
            <w:r>
              <w:t xml:space="preserve">Toukley - Norah Head</w:t>
            </w:r>
          </w:p>
        </w:tc>
        <w:tc>
          <w:p>
            <w:pPr>
              <w:pStyle w:val="Compact"/>
              <w:jc w:val="left"/>
            </w:pPr>
            <w:r>
              <w:t xml:space="preserve">134</w:t>
            </w:r>
          </w:p>
        </w:tc>
        <w:tc>
          <w:p>
            <w:pPr>
              <w:pStyle w:val="Compact"/>
              <w:jc w:val="left"/>
            </w:pPr>
            <w:r>
              <w:t xml:space="preserve">9,847</w:t>
            </w:r>
          </w:p>
        </w:tc>
        <w:tc>
          <w:p>
            <w:pPr>
              <w:pStyle w:val="Compact"/>
              <w:jc w:val="left"/>
            </w:pPr>
            <w:r>
              <w:t xml:space="preserve">13.6</w:t>
            </w:r>
          </w:p>
        </w:tc>
      </w:tr>
    </w:tbl>
    <w:p>
      <w:pPr>
        <w:pStyle w:val="BodyText"/>
      </w:pPr>
      <w:r>
        <w:rPr>
          <w:b/>
        </w:rPr>
        <w:t xml:space="preserve">Wyong</w:t>
      </w:r>
      <w:r>
        <w:t xml:space="preserve"> </w:t>
      </w:r>
      <w:r>
        <w:t xml:space="preserve">records the highest homelessness rate in the LGA at</w:t>
      </w:r>
      <w:r>
        <w:t xml:space="preserve"> </w:t>
      </w:r>
      <w:r>
        <w:rPr>
          <w:b/>
        </w:rPr>
        <w:t xml:space="preserve">25.2 per 1,000</w:t>
      </w:r>
      <w:r>
        <w:t xml:space="preserve"> </w:t>
      </w:r>
      <w:r>
        <w:t xml:space="preserve">- five times the LGA average and eight times the Gosford SA3 average. Combined with 8.1% unemployment, the lowest SEIFA score in the region, and high JobSeeker dependency, Wyong requires intensive wraparound service delivery.</w:t>
      </w:r>
    </w:p>
    <w:p>
      <w:pPr>
        <w:pStyle w:val="Heading3"/>
      </w:pPr>
      <w:bookmarkStart w:id="46" w:name="X344f9ed2987a8c66d333f57e06c45b6a476378e"/>
      <w:r>
        <w:t xml:space="preserve">7.2 Rent Assistance as Housing Stress Indicator</w:t>
      </w:r>
      <w:bookmarkEnd w:id="46"/>
    </w:p>
    <w:p>
      <w:pPr>
        <w:pStyle w:val="FirstParagraph"/>
      </w:pPr>
      <w:r>
        <w:t xml:space="preserve">Commonwealth Rent Assistance recipients have risen to</w:t>
      </w:r>
      <w:r>
        <w:t xml:space="preserve"> </w:t>
      </w:r>
      <w:r>
        <w:rPr>
          <w:b/>
        </w:rPr>
        <w:t xml:space="preserve">27,695</w:t>
      </w:r>
      <w:r>
        <w:t xml:space="preserve"> </w:t>
      </w:r>
      <w:r>
        <w:t xml:space="preserve">- up 16% from the prior period’s 23,785. This is the most alarming single indicator in the April 2026 dataset. CRA is only available to recipients of certain income support payments who pay rent above a threshold; a 16% rise suggests a significant expansion of private rental stress, particularly in Wyong where: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CRA Recipients</w:t>
            </w:r>
          </w:p>
        </w:tc>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CRA Rate (%)</w:t>
            </w:r>
          </w:p>
        </w:tc>
      </w:tr>
      <w:tr>
        <w:tc>
          <w:p>
            <w:pPr>
              <w:pStyle w:val="Compact"/>
              <w:jc w:val="left"/>
            </w:pPr>
            <w:r>
              <w:t xml:space="preserve">Gorokan - Kanwal - Charmhaven</w:t>
            </w:r>
          </w:p>
        </w:tc>
        <w:tc>
          <w:p>
            <w:pPr>
              <w:pStyle w:val="Compact"/>
              <w:jc w:val="left"/>
            </w:pPr>
            <w:r>
              <w:t xml:space="preserve">2,565</w:t>
            </w:r>
          </w:p>
        </w:tc>
        <w:tc>
          <w:p>
            <w:pPr>
              <w:pStyle w:val="Compact"/>
              <w:jc w:val="left"/>
            </w:pPr>
            <w:r>
              <w:t xml:space="preserve">22,740</w:t>
            </w:r>
          </w:p>
        </w:tc>
        <w:tc>
          <w:p>
            <w:pPr>
              <w:pStyle w:val="Compact"/>
              <w:jc w:val="left"/>
            </w:pPr>
            <w:r>
              <w:t xml:space="preserve">11.3%</w:t>
            </w:r>
          </w:p>
        </w:tc>
      </w:tr>
      <w:tr>
        <w:tc>
          <w:p>
            <w:pPr>
              <w:pStyle w:val="Compact"/>
              <w:jc w:val="left"/>
            </w:pPr>
            <w:r>
              <w:t xml:space="preserve">The Entrance</w:t>
            </w:r>
          </w:p>
        </w:tc>
        <w:tc>
          <w:p>
            <w:pPr>
              <w:pStyle w:val="Compact"/>
              <w:jc w:val="left"/>
            </w:pPr>
            <w:r>
              <w:t xml:space="preserve">2,030</w:t>
            </w:r>
          </w:p>
        </w:tc>
        <w:tc>
          <w:p>
            <w:pPr>
              <w:pStyle w:val="Compact"/>
              <w:jc w:val="left"/>
            </w:pPr>
            <w:r>
              <w:t xml:space="preserve">16,155</w:t>
            </w:r>
          </w:p>
        </w:tc>
        <w:tc>
          <w:p>
            <w:pPr>
              <w:pStyle w:val="Compact"/>
              <w:jc w:val="left"/>
            </w:pPr>
            <w:r>
              <w:t xml:space="preserve">12.6%</w:t>
            </w:r>
          </w:p>
        </w:tc>
      </w:tr>
      <w:tr>
        <w:tc>
          <w:p>
            <w:pPr>
              <w:pStyle w:val="Compact"/>
              <w:jc w:val="left"/>
            </w:pPr>
            <w:r>
              <w:t xml:space="preserve">Umina - Booker Bay - Patonga</w:t>
            </w:r>
          </w:p>
        </w:tc>
        <w:tc>
          <w:p>
            <w:pPr>
              <w:pStyle w:val="Compact"/>
              <w:jc w:val="left"/>
            </w:pPr>
            <w:r>
              <w:t xml:space="preserve">2,425</w:t>
            </w:r>
          </w:p>
        </w:tc>
        <w:tc>
          <w:p>
            <w:pPr>
              <w:pStyle w:val="Compact"/>
              <w:jc w:val="left"/>
            </w:pPr>
            <w:r>
              <w:t xml:space="preserve">25,007</w:t>
            </w:r>
          </w:p>
        </w:tc>
        <w:tc>
          <w:p>
            <w:pPr>
              <w:pStyle w:val="Compact"/>
              <w:jc w:val="left"/>
            </w:pPr>
            <w:r>
              <w:t xml:space="preserve">9.7%</w:t>
            </w:r>
          </w:p>
        </w:tc>
      </w:tr>
      <w:tr>
        <w:tc>
          <w:p>
            <w:pPr>
              <w:pStyle w:val="Compact"/>
              <w:jc w:val="left"/>
            </w:pPr>
            <w:r>
              <w:t xml:space="preserve">Lake Munmorah - Mannering Park</w:t>
            </w:r>
          </w:p>
        </w:tc>
        <w:tc>
          <w:p>
            <w:pPr>
              <w:pStyle w:val="Compact"/>
              <w:jc w:val="left"/>
            </w:pPr>
            <w:r>
              <w:t xml:space="preserve">1,890</w:t>
            </w:r>
          </w:p>
        </w:tc>
        <w:tc>
          <w:p>
            <w:pPr>
              <w:pStyle w:val="Compact"/>
              <w:jc w:val="left"/>
            </w:pPr>
            <w:r>
              <w:t xml:space="preserve">11,055</w:t>
            </w:r>
          </w:p>
        </w:tc>
        <w:tc>
          <w:p>
            <w:pPr>
              <w:pStyle w:val="Compact"/>
              <w:jc w:val="left"/>
            </w:pPr>
            <w:r>
              <w:t xml:space="preserve">17.1%</w:t>
            </w:r>
          </w:p>
        </w:tc>
      </w:tr>
      <w:tr>
        <w:tc>
          <w:p>
            <w:pPr>
              <w:pStyle w:val="Compact"/>
              <w:jc w:val="left"/>
            </w:pPr>
            <w:r>
              <w:t xml:space="preserve">Wyong</w:t>
            </w:r>
          </w:p>
        </w:tc>
        <w:tc>
          <w:p>
            <w:pPr>
              <w:pStyle w:val="Compact"/>
              <w:jc w:val="left"/>
            </w:pPr>
            <w:r>
              <w:t xml:space="preserve">1,180</w:t>
            </w:r>
          </w:p>
        </w:tc>
        <w:tc>
          <w:p>
            <w:pPr>
              <w:pStyle w:val="Compact"/>
              <w:jc w:val="left"/>
            </w:pPr>
            <w:r>
              <w:t xml:space="preserve">9,360</w:t>
            </w:r>
          </w:p>
        </w:tc>
        <w:tc>
          <w:p>
            <w:pPr>
              <w:pStyle w:val="Compact"/>
              <w:jc w:val="left"/>
            </w:pPr>
            <w:r>
              <w:t xml:space="preserve">12.6%</w:t>
            </w:r>
          </w:p>
        </w:tc>
      </w:tr>
      <w:tr>
        <w:tc>
          <w:p>
            <w:pPr>
              <w:pStyle w:val="Compact"/>
              <w:jc w:val="left"/>
            </w:pPr>
            <w:r>
              <w:t xml:space="preserve">Bateau Bay - Killarney Vale</w:t>
            </w:r>
          </w:p>
        </w:tc>
        <w:tc>
          <w:p>
            <w:pPr>
              <w:pStyle w:val="Compact"/>
              <w:jc w:val="left"/>
            </w:pPr>
            <w:r>
              <w:t xml:space="preserve">1,465</w:t>
            </w:r>
          </w:p>
        </w:tc>
        <w:tc>
          <w:p>
            <w:pPr>
              <w:pStyle w:val="Compact"/>
              <w:jc w:val="left"/>
            </w:pPr>
            <w:r>
              <w:t xml:space="preserve">22,990</w:t>
            </w:r>
          </w:p>
        </w:tc>
        <w:tc>
          <w:p>
            <w:pPr>
              <w:pStyle w:val="Compact"/>
              <w:jc w:val="left"/>
            </w:pPr>
            <w:r>
              <w:t xml:space="preserve">6.4%</w:t>
            </w:r>
          </w:p>
        </w:tc>
      </w:tr>
    </w:tbl>
    <w:p>
      <w:pPr>
        <w:pStyle w:val="BodyText"/>
      </w:pPr>
      <w:r>
        <w:rPr>
          <w:b/>
        </w:rPr>
        <w:t xml:space="preserve">Lake Munmorah - Mannering Park</w:t>
      </w:r>
      <w:r>
        <w:t xml:space="preserve"> </w:t>
      </w:r>
      <w:r>
        <w:t xml:space="preserve">at 17.1% CRA rate is particularly concerning - nearly one in five residents is receiving rent assistance, reflecting a combination of low incomes, high welfare dependency (49-year median age, 25.7% aged 69+), and a tight local rental market.</w:t>
      </w:r>
    </w:p>
    <w:p>
      <w:r>
        <w:pict>
          <v:rect style="width:0;height:1.5pt" o:hralign="center" o:hrstd="t" o:hr="t"/>
        </w:pict>
      </w:r>
    </w:p>
    <w:p>
      <w:pPr>
        <w:pStyle w:val="Heading2"/>
      </w:pPr>
      <w:bookmarkStart w:id="47" w:name="crime-community-safety"/>
      <w:r>
        <w:t xml:space="preserve">8. Crime &amp; Community Safety</w:t>
      </w:r>
      <w:bookmarkEnd w:id="47"/>
    </w:p>
    <w:p>
      <w:pPr>
        <w:pStyle w:val="FirstParagraph"/>
      </w:pPr>
      <w:r>
        <w:rPr>
          <w:b/>
        </w:rPr>
        <w:t xml:space="preserve">Source:</w:t>
      </w:r>
      <w:r>
        <w:t xml:space="preserve"> </w:t>
      </w:r>
      <w:r>
        <w:t xml:space="preserve">BOCSAR NSW Crime Statistics |</w:t>
      </w:r>
      <w:r>
        <w:t xml:space="preserve"> </w:t>
      </w:r>
      <w:r>
        <w:rPr>
          <w:b/>
        </w:rPr>
        <w:t xml:space="preserve">Period:</w:t>
      </w:r>
      <w:r>
        <w:t xml:space="preserve"> </w:t>
      </w:r>
      <w:r>
        <w:t xml:space="preserve">January-December 2025 |</w:t>
      </w:r>
      <w:r>
        <w:t xml:space="preserve"> </w:t>
      </w:r>
      <w:r>
        <w:rPr>
          <w:b/>
        </w:rPr>
        <w:t xml:space="preserve">Metric:</w:t>
      </w:r>
      <w:r>
        <w:t xml:space="preserve"> </w:t>
      </w:r>
      <w:r>
        <w:t xml:space="preserve">Rate per 1,000 population</w:t>
      </w:r>
    </w:p>
    <w:p>
      <w:pPr>
        <w:pStyle w:val="Heading3"/>
      </w:pPr>
      <w:bookmarkStart w:id="48" w:name="lga-wide-crime-profile"/>
      <w:r>
        <w:t xml:space="preserve">8.1 LGA-Wide Crime Profile</w:t>
      </w:r>
      <w:bookmarkEnd w:id="48"/>
    </w:p>
    <w:p>
      <w:pPr>
        <w:pStyle w:val="FirstParagraph"/>
      </w:pPr>
      <w:r>
        <w:t xml:space="preserve">Crime rates across the Central Coast LGA reflect and reinforce the Gosford-Wyong socioeconomic divide. Wyong SA3 records substantially higher offence rates across all five categories measured.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Offence Category</w:t>
            </w:r>
          </w:p>
        </w:tc>
        <w:tc>
          <w:tcPr>
            <w:tcBorders>
              <w:bottom w:val="single"/>
            </w:tcBorders>
            <w:vAlign w:val="bottom"/>
          </w:tcPr>
          <w:p>
            <w:pPr>
              <w:pStyle w:val="Compact"/>
              <w:jc w:val="left"/>
            </w:pPr>
            <w:r>
              <w:t xml:space="preserve">Gosford SA3</w:t>
            </w:r>
          </w:p>
        </w:tc>
        <w:tc>
          <w:tcPr>
            <w:tcBorders>
              <w:bottom w:val="single"/>
            </w:tcBorders>
            <w:vAlign w:val="bottom"/>
          </w:tcPr>
          <w:p>
            <w:pPr>
              <w:pStyle w:val="Compact"/>
              <w:jc w:val="left"/>
            </w:pPr>
            <w:r>
              <w:t xml:space="preserve">Wyong SA3</w:t>
            </w:r>
          </w:p>
        </w:tc>
        <w:tc>
          <w:tcPr>
            <w:tcBorders>
              <w:bottom w:val="single"/>
            </w:tcBorders>
            <w:vAlign w:val="bottom"/>
          </w:tcPr>
          <w:p>
            <w:pPr>
              <w:pStyle w:val="Compact"/>
              <w:jc w:val="left"/>
            </w:pPr>
            <w:r>
              <w:t xml:space="preserve">LGA Average</w:t>
            </w:r>
          </w:p>
        </w:tc>
      </w:tr>
      <w:tr>
        <w:tc>
          <w:p>
            <w:pPr>
              <w:pStyle w:val="Compact"/>
              <w:jc w:val="left"/>
            </w:pPr>
            <w:r>
              <w:t xml:space="preserve">Assault</w:t>
            </w:r>
          </w:p>
        </w:tc>
        <w:tc>
          <w:p>
            <w:pPr>
              <w:pStyle w:val="Compact"/>
              <w:jc w:val="left"/>
            </w:pPr>
            <w:r>
              <w:t xml:space="preserve">3.33</w:t>
            </w:r>
          </w:p>
        </w:tc>
        <w:tc>
          <w:p>
            <w:pPr>
              <w:pStyle w:val="Compact"/>
              <w:jc w:val="left"/>
            </w:pPr>
            <w:r>
              <w:t xml:space="preserve">4.55</w:t>
            </w:r>
          </w:p>
        </w:tc>
        <w:tc>
          <w:p>
            <w:pPr>
              <w:pStyle w:val="Compact"/>
              <w:jc w:val="left"/>
            </w:pPr>
            <w:r>
              <w:t xml:space="preserve">3.87</w:t>
            </w:r>
          </w:p>
        </w:tc>
      </w:tr>
      <w:tr>
        <w:tc>
          <w:p>
            <w:pPr>
              <w:pStyle w:val="Compact"/>
              <w:jc w:val="left"/>
            </w:pPr>
            <w:r>
              <w:t xml:space="preserve">Theft</w:t>
            </w:r>
          </w:p>
        </w:tc>
        <w:tc>
          <w:p>
            <w:pPr>
              <w:pStyle w:val="Compact"/>
              <w:jc w:val="left"/>
            </w:pPr>
            <w:r>
              <w:t xml:space="preserve">14.39</w:t>
            </w:r>
          </w:p>
        </w:tc>
        <w:tc>
          <w:p>
            <w:pPr>
              <w:pStyle w:val="Compact"/>
              <w:jc w:val="left"/>
            </w:pPr>
            <w:r>
              <w:t xml:space="preserve">23.71</w:t>
            </w:r>
          </w:p>
        </w:tc>
        <w:tc>
          <w:p>
            <w:pPr>
              <w:pStyle w:val="Compact"/>
              <w:jc w:val="left"/>
            </w:pPr>
            <w:r>
              <w:t xml:space="preserve">18.54</w:t>
            </w:r>
          </w:p>
        </w:tc>
      </w:tr>
      <w:tr>
        <w:tc>
          <w:p>
            <w:pPr>
              <w:pStyle w:val="Compact"/>
              <w:jc w:val="left"/>
            </w:pPr>
            <w:r>
              <w:t xml:space="preserve">Intimidation, Stalking &amp; Harassment</w:t>
            </w:r>
          </w:p>
        </w:tc>
        <w:tc>
          <w:p>
            <w:pPr>
              <w:pStyle w:val="Compact"/>
              <w:jc w:val="left"/>
            </w:pPr>
            <w:r>
              <w:t xml:space="preserve">4.92</w:t>
            </w:r>
          </w:p>
        </w:tc>
        <w:tc>
          <w:p>
            <w:pPr>
              <w:pStyle w:val="Compact"/>
              <w:jc w:val="left"/>
            </w:pPr>
            <w:r>
              <w:t xml:space="preserve">8.49</w:t>
            </w:r>
          </w:p>
        </w:tc>
        <w:tc>
          <w:p>
            <w:pPr>
              <w:pStyle w:val="Compact"/>
              <w:jc w:val="left"/>
            </w:pPr>
            <w:r>
              <w:t xml:space="preserve">6.51</w:t>
            </w:r>
          </w:p>
        </w:tc>
      </w:tr>
      <w:tr>
        <w:tc>
          <w:p>
            <w:pPr>
              <w:pStyle w:val="Compact"/>
              <w:jc w:val="left"/>
            </w:pPr>
            <w:r>
              <w:t xml:space="preserve">Malicious Damage to Property</w:t>
            </w:r>
          </w:p>
        </w:tc>
        <w:tc>
          <w:p>
            <w:pPr>
              <w:pStyle w:val="Compact"/>
              <w:jc w:val="left"/>
            </w:pPr>
            <w:r>
              <w:t xml:space="preserve">4.55</w:t>
            </w:r>
          </w:p>
        </w:tc>
        <w:tc>
          <w:p>
            <w:pPr>
              <w:pStyle w:val="Compact"/>
              <w:jc w:val="left"/>
            </w:pPr>
            <w:r>
              <w:t xml:space="preserve">6.61</w:t>
            </w:r>
          </w:p>
        </w:tc>
        <w:tc>
          <w:p>
            <w:pPr>
              <w:pStyle w:val="Compact"/>
              <w:jc w:val="left"/>
            </w:pPr>
            <w:r>
              <w:t xml:space="preserve">5.46</w:t>
            </w:r>
          </w:p>
        </w:tc>
      </w:tr>
      <w:tr>
        <w:tc>
          <w:p>
            <w:pPr>
              <w:pStyle w:val="Compact"/>
              <w:jc w:val="left"/>
            </w:pPr>
            <w:r>
              <w:t xml:space="preserve">Drug Offences</w:t>
            </w:r>
          </w:p>
        </w:tc>
        <w:tc>
          <w:p>
            <w:pPr>
              <w:pStyle w:val="Compact"/>
              <w:jc w:val="left"/>
            </w:pPr>
            <w:r>
              <w:t xml:space="preserve">2.35</w:t>
            </w:r>
          </w:p>
        </w:tc>
        <w:tc>
          <w:p>
            <w:pPr>
              <w:pStyle w:val="Compact"/>
              <w:jc w:val="left"/>
            </w:pPr>
            <w:r>
              <w:t xml:space="preserve">3.87</w:t>
            </w:r>
          </w:p>
        </w:tc>
        <w:tc>
          <w:p>
            <w:pPr>
              <w:pStyle w:val="Compact"/>
              <w:jc w:val="left"/>
            </w:pPr>
            <w:r>
              <w:t xml:space="preserve">3.05</w:t>
            </w:r>
          </w:p>
        </w:tc>
      </w:tr>
    </w:tbl>
    <w:p>
      <w:pPr>
        <w:pStyle w:val="BodyText"/>
      </w:pPr>
      <w:r>
        <w:rPr>
          <w:i/>
        </w:rPr>
        <w:t xml:space="preserve">Rates per 1,000 population. Data coverage: 27 of 30 CC SA2s.</w:t>
      </w:r>
    </w:p>
    <w:p>
      <w:pPr>
        <w:pStyle w:val="BodyText"/>
      </w:pPr>
      <w:r>
        <w:t xml:space="preserve">Wyong SA3 records</w:t>
      </w:r>
      <w:r>
        <w:t xml:space="preserve"> </w:t>
      </w:r>
      <w:r>
        <w:rPr>
          <w:b/>
        </w:rPr>
        <w:t xml:space="preserve">37% higher assault rates</w:t>
      </w:r>
      <w:r>
        <w:t xml:space="preserve">,</w:t>
      </w:r>
      <w:r>
        <w:t xml:space="preserve"> </w:t>
      </w:r>
      <w:r>
        <w:rPr>
          <w:b/>
        </w:rPr>
        <w:t xml:space="preserve">65% higher theft rates</w:t>
      </w:r>
      <w:r>
        <w:t xml:space="preserve">, and</w:t>
      </w:r>
      <w:r>
        <w:t xml:space="preserve"> </w:t>
      </w:r>
      <w:r>
        <w:rPr>
          <w:b/>
        </w:rPr>
        <w:t xml:space="preserve">73% higher intimidation rates</w:t>
      </w:r>
      <w:r>
        <w:t xml:space="preserve"> </w:t>
      </w:r>
      <w:r>
        <w:t xml:space="preserve">than Gosford SA3 – mirroring the same spatial pattern seen in unemployment, SEIFA disadvantage, and welfare dependency.</w:t>
      </w:r>
    </w:p>
    <w:p>
      <w:pPr>
        <w:pStyle w:val="Heading3"/>
      </w:pPr>
      <w:bookmarkStart w:id="49" w:name="high-crime-hotspots"/>
      <w:r>
        <w:t xml:space="preserve">8.2 High-Crime Hotspots</w:t>
      </w:r>
      <w:bookmarkEnd w:id="49"/>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Assault</w:t>
            </w:r>
          </w:p>
        </w:tc>
        <w:tc>
          <w:tcPr>
            <w:tcBorders>
              <w:bottom w:val="single"/>
            </w:tcBorders>
            <w:vAlign w:val="bottom"/>
          </w:tcPr>
          <w:p>
            <w:pPr>
              <w:pStyle w:val="Compact"/>
              <w:jc w:val="left"/>
            </w:pPr>
            <w:r>
              <w:t xml:space="preserve">Theft</w:t>
            </w:r>
          </w:p>
        </w:tc>
        <w:tc>
          <w:tcPr>
            <w:tcBorders>
              <w:bottom w:val="single"/>
            </w:tcBorders>
            <w:vAlign w:val="bottom"/>
          </w:tcPr>
          <w:p>
            <w:pPr>
              <w:pStyle w:val="Compact"/>
              <w:jc w:val="left"/>
            </w:pPr>
            <w:r>
              <w:t xml:space="preserve">ISH</w:t>
            </w:r>
          </w:p>
        </w:tc>
        <w:tc>
          <w:tcPr>
            <w:tcBorders>
              <w:bottom w:val="single"/>
            </w:tcBorders>
            <w:vAlign w:val="bottom"/>
          </w:tcPr>
          <w:p>
            <w:pPr>
              <w:pStyle w:val="Compact"/>
              <w:jc w:val="left"/>
            </w:pPr>
            <w:r>
              <w:t xml:space="preserve">MDP</w:t>
            </w:r>
          </w:p>
        </w:tc>
        <w:tc>
          <w:tcPr>
            <w:tcBorders>
              <w:bottom w:val="single"/>
            </w:tcBorders>
            <w:vAlign w:val="bottom"/>
          </w:tcPr>
          <w:p>
            <w:pPr>
              <w:pStyle w:val="Compact"/>
              <w:jc w:val="left"/>
            </w:pPr>
            <w:r>
              <w:t xml:space="preserve">Drug</w:t>
            </w:r>
          </w:p>
        </w:tc>
        <w:tc>
          <w:tcPr>
            <w:tcBorders>
              <w:bottom w:val="single"/>
            </w:tcBorders>
            <w:vAlign w:val="bottom"/>
          </w:tcPr>
          <w:p>
            <w:pPr>
              <w:pStyle w:val="Compact"/>
              <w:jc w:val="left"/>
            </w:pPr>
            <w:r>
              <w:t xml:space="preserve">SEIFA-D</w:t>
            </w:r>
          </w:p>
        </w:tc>
        <w:tc>
          <w:tcPr>
            <w:tcBorders>
              <w:bottom w:val="single"/>
            </w:tcBorders>
            <w:vAlign w:val="bottom"/>
          </w:tcPr>
          <w:p>
            <w:pPr>
              <w:pStyle w:val="Compact"/>
              <w:jc w:val="left"/>
            </w:pPr>
            <w:r>
              <w:t xml:space="preserve">Unemp</w:t>
            </w:r>
          </w:p>
        </w:tc>
      </w:tr>
      <w:tr>
        <w:tc>
          <w:p>
            <w:pPr>
              <w:pStyle w:val="Compact"/>
              <w:jc w:val="left"/>
            </w:pPr>
            <w:r>
              <w:t xml:space="preserve">Wyong</w:t>
            </w:r>
          </w:p>
        </w:tc>
        <w:tc>
          <w:p>
            <w:pPr>
              <w:pStyle w:val="Compact"/>
              <w:jc w:val="left"/>
            </w:pPr>
            <w:r>
              <w:rPr>
                <w:b/>
              </w:rPr>
              <w:t xml:space="preserve">12.36</w:t>
            </w:r>
          </w:p>
        </w:tc>
        <w:tc>
          <w:p>
            <w:pPr>
              <w:pStyle w:val="Compact"/>
              <w:jc w:val="left"/>
            </w:pPr>
            <w:r>
              <w:rPr>
                <w:b/>
              </w:rPr>
              <w:t xml:space="preserve">42.12</w:t>
            </w:r>
          </w:p>
        </w:tc>
        <w:tc>
          <w:p>
            <w:pPr>
              <w:pStyle w:val="Compact"/>
              <w:jc w:val="left"/>
            </w:pPr>
            <w:r>
              <w:rPr>
                <w:b/>
              </w:rPr>
              <w:t xml:space="preserve">23.19</w:t>
            </w:r>
          </w:p>
        </w:tc>
        <w:tc>
          <w:p>
            <w:pPr>
              <w:pStyle w:val="Compact"/>
              <w:jc w:val="left"/>
            </w:pPr>
            <w:r>
              <w:rPr>
                <w:b/>
              </w:rPr>
              <w:t xml:space="preserve">19.58</w:t>
            </w:r>
          </w:p>
        </w:tc>
        <w:tc>
          <w:p>
            <w:pPr>
              <w:pStyle w:val="Compact"/>
              <w:jc w:val="left"/>
            </w:pPr>
            <w:r>
              <w:rPr>
                <w:b/>
              </w:rPr>
              <w:t xml:space="preserve">16.41</w:t>
            </w:r>
          </w:p>
        </w:tc>
        <w:tc>
          <w:p>
            <w:pPr>
              <w:pStyle w:val="Compact"/>
              <w:jc w:val="left"/>
            </w:pPr>
            <w:r>
              <w:t xml:space="preserve">897</w:t>
            </w:r>
          </w:p>
        </w:tc>
        <w:tc>
          <w:p>
            <w:pPr>
              <w:pStyle w:val="Compact"/>
              <w:jc w:val="left"/>
            </w:pPr>
            <w:r>
              <w:t xml:space="preserve">8.1%</w:t>
            </w:r>
          </w:p>
        </w:tc>
      </w:tr>
      <w:tr>
        <w:tc>
          <w:p>
            <w:pPr>
              <w:pStyle w:val="Compact"/>
              <w:jc w:val="left"/>
            </w:pPr>
            <w:r>
              <w:t xml:space="preserve">Gosford - Springfield</w:t>
            </w:r>
          </w:p>
        </w:tc>
        <w:tc>
          <w:p>
            <w:pPr>
              <w:pStyle w:val="Compact"/>
              <w:jc w:val="left"/>
            </w:pPr>
            <w:r>
              <w:t xml:space="preserve">9.76</w:t>
            </w:r>
          </w:p>
        </w:tc>
        <w:tc>
          <w:p>
            <w:pPr>
              <w:pStyle w:val="Compact"/>
              <w:jc w:val="left"/>
            </w:pPr>
            <w:r>
              <w:t xml:space="preserve">39.66</w:t>
            </w:r>
          </w:p>
        </w:tc>
        <w:tc>
          <w:p>
            <w:pPr>
              <w:pStyle w:val="Compact"/>
              <w:jc w:val="left"/>
            </w:pPr>
            <w:r>
              <w:t xml:space="preserve">10.89</w:t>
            </w:r>
          </w:p>
        </w:tc>
        <w:tc>
          <w:p>
            <w:pPr>
              <w:pStyle w:val="Compact"/>
              <w:jc w:val="left"/>
            </w:pPr>
            <w:r>
              <w:t xml:space="preserve">11.69</w:t>
            </w:r>
          </w:p>
        </w:tc>
        <w:tc>
          <w:p>
            <w:pPr>
              <w:pStyle w:val="Compact"/>
              <w:jc w:val="left"/>
            </w:pPr>
            <w:r>
              <w:t xml:space="preserve">12.87</w:t>
            </w:r>
          </w:p>
        </w:tc>
        <w:tc>
          <w:p>
            <w:pPr>
              <w:pStyle w:val="Compact"/>
              <w:jc w:val="left"/>
            </w:pPr>
            <w:r>
              <w:t xml:space="preserve">983</w:t>
            </w:r>
          </w:p>
        </w:tc>
        <w:tc>
          <w:p>
            <w:pPr>
              <w:pStyle w:val="Compact"/>
              <w:jc w:val="left"/>
            </w:pPr>
            <w:r>
              <w:t xml:space="preserve">3.6%</w:t>
            </w:r>
          </w:p>
        </w:tc>
      </w:tr>
      <w:tr>
        <w:tc>
          <w:p>
            <w:pPr>
              <w:pStyle w:val="Compact"/>
              <w:jc w:val="left"/>
            </w:pPr>
            <w:r>
              <w:t xml:space="preserve">Tuggerah - Kangy Angy</w:t>
            </w:r>
          </w:p>
        </w:tc>
        <w:tc>
          <w:p>
            <w:pPr>
              <w:pStyle w:val="Compact"/>
              <w:jc w:val="left"/>
            </w:pPr>
            <w:r>
              <w:t xml:space="preserve">9.38</w:t>
            </w:r>
          </w:p>
        </w:tc>
        <w:tc>
          <w:p>
            <w:pPr>
              <w:pStyle w:val="Compact"/>
              <w:jc w:val="left"/>
            </w:pPr>
            <w:r>
              <w:rPr>
                <w:b/>
              </w:rPr>
              <w:t xml:space="preserve">83.09</w:t>
            </w:r>
          </w:p>
        </w:tc>
        <w:tc>
          <w:p>
            <w:pPr>
              <w:pStyle w:val="Compact"/>
              <w:jc w:val="left"/>
            </w:pPr>
            <w:r>
              <w:t xml:space="preserve">6.89</w:t>
            </w:r>
          </w:p>
        </w:tc>
        <w:tc>
          <w:p>
            <w:pPr>
              <w:pStyle w:val="Compact"/>
              <w:jc w:val="left"/>
            </w:pPr>
            <w:r>
              <w:t xml:space="preserve">6.51</w:t>
            </w:r>
          </w:p>
        </w:tc>
        <w:tc>
          <w:p>
            <w:pPr>
              <w:pStyle w:val="Compact"/>
              <w:jc w:val="left"/>
            </w:pPr>
            <w:r>
              <w:t xml:space="preserve">6.32</w:t>
            </w:r>
          </w:p>
        </w:tc>
        <w:tc>
          <w:p>
            <w:pPr>
              <w:pStyle w:val="Compact"/>
              <w:jc w:val="left"/>
            </w:pPr>
            <w:r>
              <w:t xml:space="preserve">1,013</w:t>
            </w:r>
          </w:p>
        </w:tc>
        <w:tc>
          <w:p>
            <w:pPr>
              <w:pStyle w:val="Compact"/>
              <w:jc w:val="left"/>
            </w:pPr>
            <w:r>
              <w:t xml:space="preserve">2.6%</w:t>
            </w:r>
          </w:p>
        </w:tc>
      </w:tr>
      <w:tr>
        <w:tc>
          <w:p>
            <w:pPr>
              <w:pStyle w:val="Compact"/>
              <w:jc w:val="left"/>
            </w:pPr>
            <w:r>
              <w:t xml:space="preserve">Woy Woy - Blackwall</w:t>
            </w:r>
          </w:p>
        </w:tc>
        <w:tc>
          <w:p>
            <w:pPr>
              <w:pStyle w:val="Compact"/>
              <w:jc w:val="left"/>
            </w:pPr>
            <w:r>
              <w:t xml:space="preserve">6.00</w:t>
            </w:r>
          </w:p>
        </w:tc>
        <w:tc>
          <w:p>
            <w:pPr>
              <w:pStyle w:val="Compact"/>
              <w:jc w:val="left"/>
            </w:pPr>
            <w:r>
              <w:t xml:space="preserve">19.66</w:t>
            </w:r>
          </w:p>
        </w:tc>
        <w:tc>
          <w:p>
            <w:pPr>
              <w:pStyle w:val="Compact"/>
              <w:jc w:val="left"/>
            </w:pPr>
            <w:r>
              <w:t xml:space="preserve">8.44</w:t>
            </w:r>
          </w:p>
        </w:tc>
        <w:tc>
          <w:p>
            <w:pPr>
              <w:pStyle w:val="Compact"/>
              <w:jc w:val="left"/>
            </w:pPr>
            <w:r>
              <w:t xml:space="preserve">9.27</w:t>
            </w:r>
          </w:p>
        </w:tc>
        <w:tc>
          <w:p>
            <w:pPr>
              <w:pStyle w:val="Compact"/>
              <w:jc w:val="left"/>
            </w:pPr>
            <w:r>
              <w:t xml:space="preserve">4.60</w:t>
            </w:r>
          </w:p>
        </w:tc>
        <w:tc>
          <w:p>
            <w:pPr>
              <w:pStyle w:val="Compact"/>
              <w:jc w:val="left"/>
            </w:pPr>
            <w:r>
              <w:t xml:space="preserve">951</w:t>
            </w:r>
          </w:p>
        </w:tc>
        <w:tc>
          <w:p>
            <w:pPr>
              <w:pStyle w:val="Compact"/>
              <w:jc w:val="left"/>
            </w:pPr>
            <w:r>
              <w:t xml:space="preserve">5.1%</w:t>
            </w:r>
          </w:p>
        </w:tc>
      </w:tr>
      <w:tr>
        <w:tc>
          <w:p>
            <w:pPr>
              <w:pStyle w:val="Compact"/>
              <w:jc w:val="left"/>
            </w:pPr>
            <w:r>
              <w:t xml:space="preserve">Gorokan - Kanwal - Charmhaven</w:t>
            </w:r>
          </w:p>
        </w:tc>
        <w:tc>
          <w:p>
            <w:pPr>
              <w:pStyle w:val="Compact"/>
              <w:jc w:val="left"/>
            </w:pPr>
            <w:r>
              <w:t xml:space="preserve">5.82</w:t>
            </w:r>
          </w:p>
        </w:tc>
        <w:tc>
          <w:p>
            <w:pPr>
              <w:pStyle w:val="Compact"/>
              <w:jc w:val="left"/>
            </w:pPr>
            <w:r>
              <w:t xml:space="preserve">20.91</w:t>
            </w:r>
          </w:p>
        </w:tc>
        <w:tc>
          <w:p>
            <w:pPr>
              <w:pStyle w:val="Compact"/>
              <w:jc w:val="left"/>
            </w:pPr>
            <w:r>
              <w:t xml:space="preserve">12.00</w:t>
            </w:r>
          </w:p>
        </w:tc>
        <w:tc>
          <w:p>
            <w:pPr>
              <w:pStyle w:val="Compact"/>
              <w:jc w:val="left"/>
            </w:pPr>
            <w:r>
              <w:t xml:space="preserve">8.37</w:t>
            </w:r>
          </w:p>
        </w:tc>
        <w:tc>
          <w:p>
            <w:pPr>
              <w:pStyle w:val="Compact"/>
              <w:jc w:val="left"/>
            </w:pPr>
            <w:r>
              <w:t xml:space="preserve">3.54</w:t>
            </w:r>
          </w:p>
        </w:tc>
        <w:tc>
          <w:p>
            <w:pPr>
              <w:pStyle w:val="Compact"/>
              <w:jc w:val="left"/>
            </w:pPr>
            <w:r>
              <w:t xml:space="preserve">917</w:t>
            </w:r>
          </w:p>
        </w:tc>
        <w:tc>
          <w:p>
            <w:pPr>
              <w:pStyle w:val="Compact"/>
              <w:jc w:val="left"/>
            </w:pPr>
            <w:r>
              <w:t xml:space="preserve">5.8%</w:t>
            </w:r>
          </w:p>
        </w:tc>
      </w:tr>
    </w:tbl>
    <w:p>
      <w:pPr>
        <w:pStyle w:val="BodyText"/>
      </w:pPr>
      <w:r>
        <w:rPr>
          <w:i/>
        </w:rPr>
        <w:t xml:space="preserve">Rates per 1,000 population.</w:t>
      </w:r>
    </w:p>
    <w:p>
      <w:pPr>
        <w:pStyle w:val="BodyText"/>
      </w:pPr>
      <w:r>
        <w:rPr>
          <w:b/>
        </w:rPr>
        <w:t xml:space="preserve">Wyong</w:t>
      </w:r>
      <w:r>
        <w:t xml:space="preserve"> </w:t>
      </w:r>
      <w:r>
        <w:t xml:space="preserve">leads all five offence categories by a significant margin. Its assault rate of 12.36 is</w:t>
      </w:r>
      <w:r>
        <w:t xml:space="preserve"> </w:t>
      </w:r>
      <w:r>
        <w:rPr>
          <w:b/>
        </w:rPr>
        <w:t xml:space="preserve">3.2x the LGA average</w:t>
      </w:r>
      <w:r>
        <w:t xml:space="preserve">, and its intimidation rate of 23.19 is</w:t>
      </w:r>
      <w:r>
        <w:t xml:space="preserve"> </w:t>
      </w:r>
      <w:r>
        <w:rPr>
          <w:b/>
        </w:rPr>
        <w:t xml:space="preserve">3.6x the LGA average</w:t>
      </w:r>
      <w:r>
        <w:t xml:space="preserve">. Combined with 8.1% unemployment, SEIFA score of 897, and the highest homelessness rate in the LGA (25.2 per 1,000), Wyong represents the most acute concentration of compounding disadvantage in the region.</w:t>
      </w:r>
    </w:p>
    <w:p>
      <w:pPr>
        <w:pStyle w:val="BodyText"/>
      </w:pPr>
      <w:r>
        <w:rPr>
          <w:b/>
        </w:rPr>
        <w:t xml:space="preserve">Tuggerah - Kangy Angy</w:t>
      </w:r>
      <w:r>
        <w:t xml:space="preserve"> </w:t>
      </w:r>
      <w:r>
        <w:t xml:space="preserve">presents a distinct pattern: an extreme theft rate (83.09 – the highest in the LGA by a wide margin) against a moderate SEIFA score (1,013) and low unemployment (2.6%). This is characteristic of</w:t>
      </w:r>
      <w:r>
        <w:t xml:space="preserve"> </w:t>
      </w:r>
      <w:r>
        <w:rPr>
          <w:b/>
        </w:rPr>
        <w:t xml:space="preserve">retail/commercial-area opportunity theft</w:t>
      </w:r>
      <w:r>
        <w:t xml:space="preserve"> </w:t>
      </w:r>
      <w:r>
        <w:t xml:space="preserve">rather than disadvantage-driven crime – Tuggerah’s major retail precinct (Westfield Tuggerah) drives concentrated retail theft. A different policy problem to the disadvantage-driven crime in Wyong.</w:t>
      </w:r>
    </w:p>
    <w:p>
      <w:pPr>
        <w:pStyle w:val="BodyText"/>
      </w:pPr>
      <w:r>
        <w:rPr>
          <w:b/>
        </w:rPr>
        <w:t xml:space="preserve">Gosford - Springfield</w:t>
      </w:r>
      <w:r>
        <w:t xml:space="preserve">, as the regional commercial centre, shows elevated rates across all categories – particularly drug offences (12.87) and theft (39.66) – consistent with its role as the regional hub attracting both economic activity and transient populations.</w:t>
      </w:r>
    </w:p>
    <w:p>
      <w:pPr>
        <w:pStyle w:val="Heading3"/>
      </w:pPr>
      <w:bookmarkStart w:id="50" w:name="youth-offending-context"/>
      <w:r>
        <w:t xml:space="preserve">8.3 Youth Offending Context</w:t>
      </w:r>
      <w:bookmarkEnd w:id="50"/>
    </w:p>
    <w:p>
      <w:pPr>
        <w:pStyle w:val="FirstParagraph"/>
      </w:pPr>
      <w:r>
        <w:t xml:space="preserve">BOCSAR’s LGA-level reporting identifies the top offence sub-types committed by young people on the Central Coast:</w:t>
      </w:r>
    </w:p>
    <w:p>
      <w:pPr>
        <w:numPr>
          <w:ilvl w:val="0"/>
          <w:numId w:val="1002"/>
        </w:numPr>
        <w:pStyle w:val="Compact"/>
      </w:pPr>
      <w:r>
        <w:t xml:space="preserve">Non-domestic violence assault</w:t>
      </w:r>
    </w:p>
    <w:p>
      <w:pPr>
        <w:numPr>
          <w:ilvl w:val="0"/>
          <w:numId w:val="1002"/>
        </w:numPr>
        <w:pStyle w:val="Compact"/>
      </w:pPr>
      <w:r>
        <w:t xml:space="preserve">Intimidation, Stalking &amp; Harassment</w:t>
      </w:r>
    </w:p>
    <w:p>
      <w:pPr>
        <w:numPr>
          <w:ilvl w:val="0"/>
          <w:numId w:val="1002"/>
        </w:numPr>
        <w:pStyle w:val="Compact"/>
      </w:pPr>
      <w:r>
        <w:t xml:space="preserve">Driving offences</w:t>
      </w:r>
    </w:p>
    <w:p>
      <w:pPr>
        <w:numPr>
          <w:ilvl w:val="0"/>
          <w:numId w:val="1002"/>
        </w:numPr>
        <w:pStyle w:val="Compact"/>
      </w:pPr>
      <w:r>
        <w:t xml:space="preserve">Steal from retail store</w:t>
      </w:r>
    </w:p>
    <w:p>
      <w:pPr>
        <w:numPr>
          <w:ilvl w:val="0"/>
          <w:numId w:val="1002"/>
        </w:numPr>
        <w:pStyle w:val="Compact"/>
      </w:pPr>
      <w:r>
        <w:t xml:space="preserve">Disorderly conduct</w:t>
      </w:r>
    </w:p>
    <w:p>
      <w:pPr>
        <w:numPr>
          <w:ilvl w:val="0"/>
          <w:numId w:val="1002"/>
        </w:numPr>
        <w:pStyle w:val="Compact"/>
      </w:pPr>
      <w:r>
        <w:t xml:space="preserve">Drug offences</w:t>
      </w:r>
    </w:p>
    <w:p>
      <w:pPr>
        <w:numPr>
          <w:ilvl w:val="0"/>
          <w:numId w:val="1002"/>
        </w:numPr>
        <w:pStyle w:val="Compact"/>
      </w:pPr>
      <w:r>
        <w:t xml:space="preserve">Break &amp; enter dwelling</w:t>
      </w:r>
    </w:p>
    <w:p>
      <w:pPr>
        <w:numPr>
          <w:ilvl w:val="0"/>
          <w:numId w:val="1002"/>
        </w:numPr>
        <w:pStyle w:val="Compact"/>
      </w:pPr>
      <w:r>
        <w:t xml:space="preserve">Malicious damage to property</w:t>
      </w:r>
    </w:p>
    <w:p>
      <w:pPr>
        <w:pStyle w:val="FirstParagraph"/>
      </w:pPr>
      <w:r>
        <w:t xml:space="preserve">The prominence of</w:t>
      </w:r>
      <w:r>
        <w:t xml:space="preserve"> </w:t>
      </w:r>
      <w:r>
        <w:rPr>
          <w:b/>
        </w:rPr>
        <w:t xml:space="preserve">Intimidation, Stalking &amp; Harassment at #2</w:t>
      </w:r>
      <w:r>
        <w:t xml:space="preserve"> </w:t>
      </w:r>
      <w:r>
        <w:t xml:space="preserve">is regionally anomalous – nationally this category skews older. The spatial concentration of ISH in the Wyong corridor (Wyong: 23.19, Gorokan: 12.00, Toukley-Norah Head: 11.30) suggests a youth cohort dynamic that warrants attention. Suburbs with the highest ISH rates overlap with those showing highest youth population shares and lowest Year 12 completion rates.</w:t>
      </w:r>
    </w:p>
    <w:p>
      <w:pPr>
        <w:pStyle w:val="BodyText"/>
      </w:pPr>
      <w:r>
        <w:t xml:space="preserve">The data supports targeted</w:t>
      </w:r>
      <w:r>
        <w:t xml:space="preserve"> </w:t>
      </w:r>
      <w:r>
        <w:rPr>
          <w:b/>
        </w:rPr>
        <w:t xml:space="preserve">youth crime prevention investment</w:t>
      </w:r>
      <w:r>
        <w:t xml:space="preserve"> </w:t>
      </w:r>
      <w:r>
        <w:t xml:space="preserve">in the Wyong-Gorokan-Toukley corridor, focused on early intervention, educational re-engagement, and diversion programs.</w:t>
      </w:r>
    </w:p>
    <w:p>
      <w:pPr>
        <w:pStyle w:val="Heading3"/>
      </w:pPr>
      <w:bookmarkStart w:id="51" w:name="low-crime-suburbs"/>
      <w:r>
        <w:t xml:space="preserve">8.4 Low-Crime Suburbs</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Suburb</w:t>
            </w:r>
          </w:p>
        </w:tc>
        <w:tc>
          <w:tcPr>
            <w:tcBorders>
              <w:bottom w:val="single"/>
            </w:tcBorders>
            <w:vAlign w:val="bottom"/>
          </w:tcPr>
          <w:p>
            <w:pPr>
              <w:pStyle w:val="Compact"/>
              <w:jc w:val="left"/>
            </w:pPr>
            <w:r>
              <w:t xml:space="preserve">Assault</w:t>
            </w:r>
          </w:p>
        </w:tc>
        <w:tc>
          <w:tcPr>
            <w:tcBorders>
              <w:bottom w:val="single"/>
            </w:tcBorders>
            <w:vAlign w:val="bottom"/>
          </w:tcPr>
          <w:p>
            <w:pPr>
              <w:pStyle w:val="Compact"/>
              <w:jc w:val="left"/>
            </w:pPr>
            <w:r>
              <w:t xml:space="preserve">Theft</w:t>
            </w:r>
          </w:p>
        </w:tc>
        <w:tc>
          <w:tcPr>
            <w:tcBorders>
              <w:bottom w:val="single"/>
            </w:tcBorders>
            <w:vAlign w:val="bottom"/>
          </w:tcPr>
          <w:p>
            <w:pPr>
              <w:pStyle w:val="Compact"/>
              <w:jc w:val="left"/>
            </w:pPr>
            <w:r>
              <w:t xml:space="preserve">ISH</w:t>
            </w:r>
          </w:p>
        </w:tc>
        <w:tc>
          <w:tcPr>
            <w:tcBorders>
              <w:bottom w:val="single"/>
            </w:tcBorders>
            <w:vAlign w:val="bottom"/>
          </w:tcPr>
          <w:p>
            <w:pPr>
              <w:pStyle w:val="Compact"/>
              <w:jc w:val="left"/>
            </w:pPr>
            <w:r>
              <w:t xml:space="preserve">SEIFA-D</w:t>
            </w:r>
          </w:p>
        </w:tc>
      </w:tr>
      <w:tr>
        <w:tc>
          <w:p>
            <w:pPr>
              <w:pStyle w:val="Compact"/>
              <w:jc w:val="left"/>
            </w:pPr>
            <w:r>
              <w:t xml:space="preserve">Lake Munmorah - Mannering Park</w:t>
            </w:r>
          </w:p>
        </w:tc>
        <w:tc>
          <w:p>
            <w:pPr>
              <w:pStyle w:val="Compact"/>
              <w:jc w:val="left"/>
            </w:pPr>
            <w:r>
              <w:t xml:space="preserve">0.09</w:t>
            </w:r>
          </w:p>
        </w:tc>
        <w:tc>
          <w:p>
            <w:pPr>
              <w:pStyle w:val="Compact"/>
              <w:jc w:val="left"/>
            </w:pPr>
            <w:r>
              <w:t xml:space="preserve">1.28</w:t>
            </w:r>
          </w:p>
        </w:tc>
        <w:tc>
          <w:p>
            <w:pPr>
              <w:pStyle w:val="Compact"/>
              <w:jc w:val="left"/>
            </w:pPr>
            <w:r>
              <w:t xml:space="preserve">n/a</w:t>
            </w:r>
          </w:p>
        </w:tc>
        <w:tc>
          <w:p>
            <w:pPr>
              <w:pStyle w:val="Compact"/>
              <w:jc w:val="left"/>
            </w:pPr>
            <w:r>
              <w:t xml:space="preserve">952</w:t>
            </w:r>
          </w:p>
        </w:tc>
      </w:tr>
      <w:tr>
        <w:tc>
          <w:p>
            <w:pPr>
              <w:pStyle w:val="Compact"/>
              <w:jc w:val="left"/>
            </w:pPr>
            <w:r>
              <w:t xml:space="preserve">Saratoga - Davistown</w:t>
            </w:r>
          </w:p>
        </w:tc>
        <w:tc>
          <w:p>
            <w:pPr>
              <w:pStyle w:val="Compact"/>
              <w:jc w:val="left"/>
            </w:pPr>
            <w:r>
              <w:t xml:space="preserve">0.42</w:t>
            </w:r>
          </w:p>
        </w:tc>
        <w:tc>
          <w:p>
            <w:pPr>
              <w:pStyle w:val="Compact"/>
              <w:jc w:val="left"/>
            </w:pPr>
            <w:r>
              <w:t xml:space="preserve">n/a</w:t>
            </w:r>
          </w:p>
        </w:tc>
        <w:tc>
          <w:p>
            <w:pPr>
              <w:pStyle w:val="Compact"/>
              <w:jc w:val="left"/>
            </w:pPr>
            <w:r>
              <w:t xml:space="preserve">n/a</w:t>
            </w:r>
          </w:p>
        </w:tc>
        <w:tc>
          <w:p>
            <w:pPr>
              <w:pStyle w:val="Compact"/>
              <w:jc w:val="left"/>
            </w:pPr>
            <w:r>
              <w:t xml:space="preserve">1,056</w:t>
            </w:r>
          </w:p>
        </w:tc>
      </w:tr>
      <w:tr>
        <w:tc>
          <w:p>
            <w:pPr>
              <w:pStyle w:val="Compact"/>
              <w:jc w:val="left"/>
            </w:pPr>
            <w:r>
              <w:t xml:space="preserve">Box Head - MacMasters Beach</w:t>
            </w:r>
          </w:p>
        </w:tc>
        <w:tc>
          <w:p>
            <w:pPr>
              <w:pStyle w:val="Compact"/>
              <w:jc w:val="left"/>
            </w:pPr>
            <w:r>
              <w:t xml:space="preserve">0.63</w:t>
            </w:r>
          </w:p>
        </w:tc>
        <w:tc>
          <w:p>
            <w:pPr>
              <w:pStyle w:val="Compact"/>
              <w:jc w:val="left"/>
            </w:pPr>
            <w:r>
              <w:t xml:space="preserve">4.98</w:t>
            </w:r>
          </w:p>
        </w:tc>
        <w:tc>
          <w:p>
            <w:pPr>
              <w:pStyle w:val="Compact"/>
              <w:jc w:val="left"/>
            </w:pPr>
            <w:r>
              <w:t xml:space="preserve">1.27</w:t>
            </w:r>
          </w:p>
        </w:tc>
        <w:tc>
          <w:p>
            <w:pPr>
              <w:pStyle w:val="Compact"/>
              <w:jc w:val="left"/>
            </w:pPr>
            <w:r>
              <w:t xml:space="preserve">1,064</w:t>
            </w:r>
          </w:p>
        </w:tc>
      </w:tr>
      <w:tr>
        <w:tc>
          <w:p>
            <w:pPr>
              <w:pStyle w:val="Compact"/>
              <w:jc w:val="left"/>
            </w:pPr>
            <w:r>
              <w:t xml:space="preserve">Wamberal - Forresters Beach</w:t>
            </w:r>
          </w:p>
        </w:tc>
        <w:tc>
          <w:p>
            <w:pPr>
              <w:pStyle w:val="Compact"/>
              <w:jc w:val="left"/>
            </w:pPr>
            <w:r>
              <w:t xml:space="preserve">0.94</w:t>
            </w:r>
          </w:p>
        </w:tc>
        <w:tc>
          <w:p>
            <w:pPr>
              <w:pStyle w:val="Compact"/>
              <w:jc w:val="left"/>
            </w:pPr>
            <w:r>
              <w:t xml:space="preserve">11.43</w:t>
            </w:r>
          </w:p>
        </w:tc>
        <w:tc>
          <w:p>
            <w:pPr>
              <w:pStyle w:val="Compact"/>
              <w:jc w:val="left"/>
            </w:pPr>
            <w:r>
              <w:t xml:space="preserve">n/a</w:t>
            </w:r>
          </w:p>
        </w:tc>
        <w:tc>
          <w:p>
            <w:pPr>
              <w:pStyle w:val="Compact"/>
              <w:jc w:val="left"/>
            </w:pPr>
            <w:r>
              <w:t xml:space="preserve">1,081</w:t>
            </w:r>
          </w:p>
        </w:tc>
      </w:tr>
      <w:tr>
        <w:tc>
          <w:p>
            <w:pPr>
              <w:pStyle w:val="Compact"/>
              <w:jc w:val="left"/>
            </w:pPr>
            <w:r>
              <w:t xml:space="preserve">Avoca Beach - Copacabana</w:t>
            </w:r>
          </w:p>
        </w:tc>
        <w:tc>
          <w:p>
            <w:pPr>
              <w:pStyle w:val="Compact"/>
              <w:jc w:val="left"/>
            </w:pPr>
            <w:r>
              <w:t xml:space="preserve">1.06</w:t>
            </w:r>
          </w:p>
        </w:tc>
        <w:tc>
          <w:p>
            <w:pPr>
              <w:pStyle w:val="Compact"/>
              <w:jc w:val="left"/>
            </w:pPr>
            <w:r>
              <w:t xml:space="preserve">14.74</w:t>
            </w:r>
          </w:p>
        </w:tc>
        <w:tc>
          <w:p>
            <w:pPr>
              <w:pStyle w:val="Compact"/>
              <w:jc w:val="left"/>
            </w:pPr>
            <w:r>
              <w:t xml:space="preserve">2.66</w:t>
            </w:r>
          </w:p>
        </w:tc>
        <w:tc>
          <w:p>
            <w:pPr>
              <w:pStyle w:val="Compact"/>
              <w:jc w:val="left"/>
            </w:pPr>
            <w:r>
              <w:t xml:space="preserve">1,079</w:t>
            </w:r>
          </w:p>
        </w:tc>
      </w:tr>
    </w:tbl>
    <w:p>
      <w:pPr>
        <w:pStyle w:val="BodyText"/>
      </w:pPr>
      <w:r>
        <w:t xml:space="preserve">The contrast between Lake Munmorah (assault: 0.09) and Wyong (assault: 12.36) – both within the same LGA – represents a</w:t>
      </w:r>
      <w:r>
        <w:t xml:space="preserve"> </w:t>
      </w:r>
      <w:r>
        <w:rPr>
          <w:b/>
        </w:rPr>
        <w:t xml:space="preserve">137x difference in assault rate</w:t>
      </w:r>
      <w:r>
        <w:t xml:space="preserve">. This magnitude of within-LGA variation reinforces the case for place-based, suburb-level responses rather than LGA-wide averages.</w:t>
      </w:r>
    </w:p>
    <w:p>
      <w:r>
        <w:pict>
          <v:rect style="width:0;height:1.5pt" o:hralign="center" o:hrstd="t" o:hr="t"/>
        </w:pict>
      </w:r>
    </w:p>
    <w:p>
      <w:pPr>
        <w:pStyle w:val="Heading2"/>
      </w:pPr>
      <w:bookmarkStart w:id="52" w:name="key-findings-priorities-for-april-2026"/>
      <w:r>
        <w:t xml:space="preserve">9. Key Findings &amp; Priorities for April 2026</w:t>
      </w:r>
      <w:bookmarkEnd w:id="52"/>
    </w:p>
    <w:p>
      <w:pPr>
        <w:pStyle w:val="Heading3"/>
      </w:pPr>
      <w:bookmarkStart w:id="53" w:name="what-has-changed-since-prior-period"/>
      <w:r>
        <w:t xml:space="preserve">What Has Changed Since Prior Period</w:t>
      </w:r>
      <w:bookmarkEnd w:id="53"/>
    </w:p>
    <w:tbl>
      <w:tblPr>
        <w:tblStyle w:val="Table"/>
        <w:tblW w:type="pct" w:w="0.0"/>
        <w:tblLook w:firstRow="1"/>
      </w:tblPr>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Prior</w:t>
            </w:r>
          </w:p>
        </w:tc>
        <w:tc>
          <w:tcPr>
            <w:tcBorders>
              <w:bottom w:val="single"/>
            </w:tcBorders>
            <w:vAlign w:val="bottom"/>
          </w:tcPr>
          <w:p>
            <w:pPr>
              <w:pStyle w:val="Compact"/>
              <w:jc w:val="left"/>
            </w:pPr>
            <w:r>
              <w:t xml:space="preserve">Current</w:t>
            </w:r>
          </w:p>
        </w:tc>
        <w:tc>
          <w:tcPr>
            <w:tcBorders>
              <w:bottom w:val="single"/>
            </w:tcBorders>
            <w:vAlign w:val="bottom"/>
          </w:tcPr>
          <w:p>
            <w:pPr>
              <w:pStyle w:val="Compact"/>
              <w:jc w:val="left"/>
            </w:pPr>
            <w:r>
              <w:t xml:space="preserve">Trend</w:t>
            </w:r>
          </w:p>
        </w:tc>
      </w:tr>
      <w:tr>
        <w:tc>
          <w:p>
            <w:pPr>
              <w:pStyle w:val="Compact"/>
              <w:jc w:val="left"/>
            </w:pPr>
            <w:r>
              <w:t xml:space="preserve">LGA avg house price</w:t>
            </w:r>
          </w:p>
        </w:tc>
        <w:tc>
          <w:p>
            <w:pPr>
              <w:pStyle w:val="Compact"/>
              <w:jc w:val="left"/>
            </w:pPr>
            <w:r>
              <w:t xml:space="preserve">$1,168,505</w:t>
            </w:r>
          </w:p>
        </w:tc>
        <w:tc>
          <w:p>
            <w:pPr>
              <w:pStyle w:val="Compact"/>
              <w:jc w:val="left"/>
            </w:pPr>
            <w:r>
              <w:t xml:space="preserve">$1,191,900</w:t>
            </w:r>
          </w:p>
        </w:tc>
        <w:tc>
          <w:p>
            <w:pPr>
              <w:pStyle w:val="Compact"/>
              <w:jc w:val="left"/>
            </w:pPr>
            <w:r>
              <w:t xml:space="preserve">↑ Rising</w:t>
            </w:r>
          </w:p>
        </w:tc>
      </w:tr>
      <w:tr>
        <w:tc>
          <w:p>
            <w:pPr>
              <w:pStyle w:val="Compact"/>
              <w:jc w:val="left"/>
            </w:pPr>
            <w:r>
              <w:t xml:space="preserve">Price-to-income ratio</w:t>
            </w:r>
          </w:p>
        </w:tc>
        <w:tc>
          <w:p>
            <w:pPr>
              <w:pStyle w:val="Compact"/>
              <w:jc w:val="left"/>
            </w:pPr>
            <w:r>
              <w:t xml:space="preserve">16.4×</w:t>
            </w:r>
          </w:p>
        </w:tc>
        <w:tc>
          <w:p>
            <w:pPr>
              <w:pStyle w:val="Compact"/>
              <w:jc w:val="left"/>
            </w:pPr>
            <w:r>
              <w:t xml:space="preserve">16.7×</w:t>
            </w:r>
          </w:p>
        </w:tc>
        <w:tc>
          <w:p>
            <w:pPr>
              <w:pStyle w:val="Compact"/>
              <w:jc w:val="left"/>
            </w:pPr>
            <w:r>
              <w:t xml:space="preserve">↑ Worsening</w:t>
            </w:r>
          </w:p>
        </w:tc>
      </w:tr>
      <w:tr>
        <w:tc>
          <w:p>
            <w:pPr>
              <w:pStyle w:val="Compact"/>
              <w:jc w:val="left"/>
            </w:pPr>
            <w:r>
              <w:t xml:space="preserve">JobSeeker recipients</w:t>
            </w:r>
          </w:p>
        </w:tc>
        <w:tc>
          <w:p>
            <w:pPr>
              <w:pStyle w:val="Compact"/>
              <w:jc w:val="left"/>
            </w:pPr>
            <w:r>
              <w:t xml:space="preserve">~11,240</w:t>
            </w:r>
          </w:p>
        </w:tc>
        <w:tc>
          <w:p>
            <w:pPr>
              <w:pStyle w:val="Compact"/>
              <w:jc w:val="left"/>
            </w:pPr>
            <w:r>
              <w:t xml:space="preserve">12,550</w:t>
            </w:r>
          </w:p>
        </w:tc>
        <w:tc>
          <w:p>
            <w:pPr>
              <w:pStyle w:val="Compact"/>
              <w:jc w:val="left"/>
            </w:pPr>
            <w:r>
              <w:t xml:space="preserve">↑ +11.6%</w:t>
            </w:r>
          </w:p>
        </w:tc>
      </w:tr>
      <w:tr>
        <w:tc>
          <w:p>
            <w:pPr>
              <w:pStyle w:val="Compact"/>
              <w:jc w:val="left"/>
            </w:pPr>
            <w:r>
              <w:t xml:space="preserve">Commonwealth Rent Assistance</w:t>
            </w:r>
          </w:p>
        </w:tc>
        <w:tc>
          <w:p>
            <w:pPr>
              <w:pStyle w:val="Compact"/>
              <w:jc w:val="left"/>
            </w:pPr>
            <w:r>
              <w:t xml:space="preserve">~23,785</w:t>
            </w:r>
          </w:p>
        </w:tc>
        <w:tc>
          <w:p>
            <w:pPr>
              <w:pStyle w:val="Compact"/>
              <w:jc w:val="left"/>
            </w:pPr>
            <w:r>
              <w:t xml:space="preserve">27,695</w:t>
            </w:r>
          </w:p>
        </w:tc>
        <w:tc>
          <w:p>
            <w:pPr>
              <w:pStyle w:val="Compact"/>
              <w:jc w:val="left"/>
            </w:pPr>
            <w:r>
              <w:t xml:space="preserve">↑ +16.4%</w:t>
            </w:r>
          </w:p>
        </w:tc>
      </w:tr>
      <w:tr>
        <w:tc>
          <w:p>
            <w:pPr>
              <w:pStyle w:val="Compact"/>
              <w:jc w:val="left"/>
            </w:pPr>
            <w:r>
              <w:t xml:space="preserve">Erina - Green Point house price</w:t>
            </w:r>
          </w:p>
        </w:tc>
        <w:tc>
          <w:p>
            <w:pPr>
              <w:pStyle w:val="Compact"/>
              <w:jc w:val="left"/>
            </w:pPr>
            <w:r>
              <w:t xml:space="preserve">$2,087,500</w:t>
            </w:r>
          </w:p>
        </w:tc>
        <w:tc>
          <w:p>
            <w:pPr>
              <w:pStyle w:val="Compact"/>
              <w:jc w:val="left"/>
            </w:pPr>
            <w:r>
              <w:t xml:space="preserve">$1,974,000</w:t>
            </w:r>
          </w:p>
        </w:tc>
        <w:tc>
          <w:p>
            <w:pPr>
              <w:pStyle w:val="Compact"/>
              <w:jc w:val="left"/>
            </w:pPr>
            <w:r>
              <w:t xml:space="preserve">↓ Softening</w:t>
            </w:r>
          </w:p>
        </w:tc>
      </w:tr>
      <w:tr>
        <w:tc>
          <w:p>
            <w:pPr>
              <w:pStyle w:val="Compact"/>
              <w:jc w:val="left"/>
            </w:pPr>
            <w:r>
              <w:t xml:space="preserve">Premium tier prices generally</w:t>
            </w:r>
          </w:p>
        </w:tc>
        <w:tc>
          <w:p>
            <w:pPr>
              <w:pStyle w:val="Compact"/>
              <w:jc w:val="left"/>
            </w:pPr>
            <w:r>
              <w:t xml:space="preserve">-</w:t>
            </w:r>
          </w:p>
        </w:tc>
        <w:tc>
          <w:p>
            <w:pPr>
              <w:pStyle w:val="Compact"/>
              <w:jc w:val="left"/>
            </w:pPr>
            <w:r>
              <w:t xml:space="preserve">Moderating</w:t>
            </w:r>
          </w:p>
        </w:tc>
        <w:tc>
          <w:p>
            <w:pPr>
              <w:pStyle w:val="Compact"/>
              <w:jc w:val="left"/>
            </w:pPr>
            <w:r>
              <w:t xml:space="preserve">↓</w:t>
            </w:r>
          </w:p>
        </w:tc>
      </w:tr>
      <w:tr>
        <w:tc>
          <w:p>
            <w:pPr>
              <w:pStyle w:val="Compact"/>
              <w:jc w:val="left"/>
            </w:pPr>
            <w:r>
              <w:t xml:space="preserve">Airbnb gross revenue</w:t>
            </w:r>
          </w:p>
        </w:tc>
        <w:tc>
          <w:p>
            <w:pPr>
              <w:pStyle w:val="Compact"/>
              <w:jc w:val="left"/>
            </w:pPr>
            <w:r>
              <w:t xml:space="preserve">$2.78M</w:t>
            </w:r>
          </w:p>
        </w:tc>
        <w:tc>
          <w:p>
            <w:pPr>
              <w:pStyle w:val="Compact"/>
              <w:jc w:val="left"/>
            </w:pPr>
            <w:r>
              <w:t xml:space="preserve">$3.91M</w:t>
            </w:r>
          </w:p>
        </w:tc>
        <w:tc>
          <w:p>
            <w:pPr>
              <w:pStyle w:val="Compact"/>
              <w:jc w:val="left"/>
            </w:pPr>
            <w:r>
              <w:t xml:space="preserve">↑ +41%</w:t>
            </w:r>
          </w:p>
        </w:tc>
      </w:tr>
      <w:tr>
        <w:tc>
          <w:p>
            <w:pPr>
              <w:pStyle w:val="Compact"/>
              <w:jc w:val="left"/>
            </w:pPr>
            <w:r>
              <w:t xml:space="preserve">Warnervale approvals</w:t>
            </w:r>
          </w:p>
        </w:tc>
        <w:tc>
          <w:p>
            <w:pPr>
              <w:pStyle w:val="Compact"/>
              <w:jc w:val="left"/>
            </w:pPr>
            <w:r>
              <w:t xml:space="preserve">222</w:t>
            </w:r>
          </w:p>
        </w:tc>
        <w:tc>
          <w:p>
            <w:pPr>
              <w:pStyle w:val="Compact"/>
              <w:jc w:val="left"/>
            </w:pPr>
            <w:r>
              <w:t xml:space="preserve">204</w:t>
            </w:r>
          </w:p>
        </w:tc>
        <w:tc>
          <w:p>
            <w:pPr>
              <w:pStyle w:val="Compact"/>
              <w:jc w:val="left"/>
            </w:pPr>
            <w:r>
              <w:t xml:space="preserve">↓ Easing</w:t>
            </w:r>
          </w:p>
        </w:tc>
      </w:tr>
      <w:tr>
        <w:tc>
          <w:p>
            <w:pPr>
              <w:pStyle w:val="Compact"/>
              <w:jc w:val="left"/>
            </w:pPr>
            <w:r>
              <w:t xml:space="preserve">LGA avg weekly rent</w:t>
            </w:r>
          </w:p>
        </w:tc>
        <w:tc>
          <w:p>
            <w:pPr>
              <w:pStyle w:val="Compact"/>
              <w:jc w:val="left"/>
            </w:pPr>
            <w:r>
              <w:t xml:space="preserve">$709</w:t>
            </w:r>
          </w:p>
        </w:tc>
        <w:tc>
          <w:p>
            <w:pPr>
              <w:pStyle w:val="Compact"/>
              <w:jc w:val="left"/>
            </w:pPr>
            <w:r>
              <w:t xml:space="preserve">$729</w:t>
            </w:r>
          </w:p>
        </w:tc>
        <w:tc>
          <w:p>
            <w:pPr>
              <w:pStyle w:val="Compact"/>
              <w:jc w:val="left"/>
            </w:pPr>
            <w:r>
              <w:t xml:space="preserve">↑ Rising</w:t>
            </w:r>
          </w:p>
        </w:tc>
      </w:tr>
    </w:tbl>
    <w:p>
      <w:pPr>
        <w:pStyle w:val="Heading3"/>
      </w:pPr>
      <w:bookmarkStart w:id="54" w:name="priority-issues"/>
      <w:r>
        <w:t xml:space="preserve">Priority Issues</w:t>
      </w:r>
      <w:bookmarkEnd w:id="54"/>
    </w:p>
    <w:p>
      <w:pPr>
        <w:pStyle w:val="FirstParagraph"/>
      </w:pPr>
      <w:r>
        <w:rPr>
          <w:b/>
        </w:rPr>
        <w:t xml:space="preserve">1. Income support crisis in northern Wyong</w:t>
      </w:r>
      <w:r>
        <w:t xml:space="preserve"> </w:t>
      </w:r>
      <w:r>
        <w:t xml:space="preserve">The 11.6% increase in JobSeeker and 16.4% increase in CRA are the most urgent signals in this dataset. The five suburbs forming the northern disadvantage corridor - Wyong, Gorokan, Blue Haven, Toukley, The Entrance - require targeted employment programs, not general economic stimulus. Structural unemployment in these suburbs does not respond to region-wide job creation.</w:t>
      </w:r>
    </w:p>
    <w:p>
      <w:pPr>
        <w:pStyle w:val="BodyText"/>
      </w:pPr>
      <w:r>
        <w:rPr>
          <w:b/>
        </w:rPr>
        <w:t xml:space="preserve">2. Housing affordability at a breaking point</w:t>
      </w:r>
      <w:r>
        <w:t xml:space="preserve"> </w:t>
      </w:r>
      <w:r>
        <w:t xml:space="preserve">A price-to-income ratio of 16.7× is unsustainable. The easing in Gosford’s premium tier ($1.97M → down from $2.09M at Erina) has not translated to affordability improvement; entry-level Wyong prices have continued rising. Without accelerated social and affordable housing supply, rental stress will deepen further.</w:t>
      </w:r>
    </w:p>
    <w:p>
      <w:pPr>
        <w:pStyle w:val="BodyText"/>
      </w:pPr>
      <w:r>
        <w:rPr>
          <w:b/>
        </w:rPr>
        <w:t xml:space="preserve">3. Short-stay accommodation is displacing renters</w:t>
      </w:r>
      <w:r>
        <w:t xml:space="preserve"> </w:t>
      </w:r>
      <w:r>
        <w:t xml:space="preserve">The 41% increase in Airbnb revenue signals an accelerating shift of coastal housing stock to short-stay use. Without proactive regulation, this will continue to reduce rental availability and push vulnerable households further into housing stress.</w:t>
      </w:r>
    </w:p>
    <w:p>
      <w:pPr>
        <w:pStyle w:val="BodyText"/>
      </w:pPr>
      <w:r>
        <w:rPr>
          <w:b/>
        </w:rPr>
        <w:t xml:space="preserve">4. Aged care demand is building</w:t>
      </w:r>
      <w:r>
        <w:t xml:space="preserve"> </w:t>
      </w:r>
      <w:r>
        <w:t xml:space="preserve">49,360 Age Pension recipients - 13.9% of the LGA - with suburban concentrations exceeding 25% aged 69+ in Erina-Green Point and Lake Munmorah. Infrastructure planning must anticipate step-change increases in healthcare, transport, and in-home support requirements.</w:t>
      </w:r>
    </w:p>
    <w:p>
      <w:pPr>
        <w:pStyle w:val="BodyText"/>
      </w:pPr>
      <w:r>
        <w:rPr>
          <w:b/>
        </w:rPr>
        <w:t xml:space="preserve">5. Warnervale-Wadalba infrastructure deficit</w:t>
      </w:r>
      <w:r>
        <w:t xml:space="preserve"> </w:t>
      </w:r>
      <w:r>
        <w:t xml:space="preserve">With 22% of LGA population growth and 204 dwelling approvals – still the highest in the LGA – this suburb’s infrastructure (schools, childcare, transport, health) continues to lag supply. The youngest median age (35) and highest under-20 share (31.5%) mean demand for education and family services will intensify for the next decade.</w:t>
      </w:r>
    </w:p>
    <w:p>
      <w:pPr>
        <w:pStyle w:val="BodyText"/>
      </w:pPr>
      <w:r>
        <w:rPr>
          <w:b/>
        </w:rPr>
        <w:t xml:space="preserve">6. Crime concentration mirrors disadvantage – and demands a youth response</w:t>
      </w:r>
      <w:r>
        <w:t xml:space="preserve"> </w:t>
      </w:r>
      <w:r>
        <w:t xml:space="preserve">The BOCSAR data confirms what the socioeconomic indicators predict: crime is heavily concentrated in the northern Wyong disadvantage corridor, with Wyong suburb recording 3.2x the LGA average assault rate and 3.6x the average intimidation rate. The anomalous prevalence of Intimidation, Stalking &amp; Harassment as the #2 youth offence on the Central Coast – a pattern not seen at the national level – signals an emerging youth cohort issue specific to this region. Combined with the lowest Year 12 completion rates and highest youth unemployment in the LGA, a targeted diversion and early intervention program for the Wyong-Gorokan-Toukley corridor is warranted. Separately, Tuggerah - Kangy Angy’s extreme retail theft rate (83 per 1,000) is a commercial precinct management issue distinct from the disadvantage-driven crime in Wyong, and requires different intervention.</w:t>
      </w:r>
    </w:p>
    <w:p>
      <w:r>
        <w:pict>
          <v:rect style="width:0;height:1.5pt" o:hralign="center" o:hrstd="t" o:hr="t"/>
        </w:pict>
      </w:r>
    </w:p>
    <w:p>
      <w:pPr>
        <w:pStyle w:val="FirstParagraph"/>
      </w:pPr>
      <w:r>
        <w:rPr>
          <w:i/>
        </w:rPr>
        <w:t xml:space="preserve">Report generated from April/May 2026 indicator data (June 2026 refresh). Crime data from BOCSAR NSW, January-December 2025, rates per 1,000 population. SA2-level data sourced from ABS, CoreLogic, Airdna, Services Australia, and BOCSAR. All dollar values in AUD. Population data based on 2021 Census with 2023-24 ERP update.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2026-06-20T03:49:48Z</dcterms:created>
  <dcterms:modified xsi:type="dcterms:W3CDTF">2026-06-20T03:49:48Z</dcterms:modified>
</cp:coreProperties>
</file>

<file path=docProps/custom.xml><?xml version="1.0" encoding="utf-8"?>
<Properties xmlns="http://schemas.openxmlformats.org/officeDocument/2006/custom-properties" xmlns:vt="http://schemas.openxmlformats.org/officeDocument/2006/docPropsVTypes"/>
</file>