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entral-coast-sa2-intelligence-report"/>
      <w:r>
        <w:t xml:space="preserve">Central Coast SA2 Intelligence Report</w:t>
      </w:r>
      <w:bookmarkEnd w:id="20"/>
    </w:p>
    <w:p>
      <w:pPr>
        <w:pStyle w:val="FirstParagraph"/>
      </w:pPr>
      <w:r>
        <w:rPr>
          <w:b/>
        </w:rPr>
        <w:t xml:space="preserve">Prepared: August 2026 | Indicators: July 2026 | Data Coverage: 30 SA2 areas, Central Coast LGA (NSW)</w:t>
      </w:r>
    </w:p>
    <w:p>
      <w:pPr>
        <w:pStyle w:val="Heading2"/>
      </w:pPr>
      <w:bookmarkStart w:id="21" w:name="executive-summary"/>
      <w:r>
        <w:t xml:space="preserve">Executive Summary</w:t>
      </w:r>
      <w:bookmarkEnd w:id="21"/>
    </w:p>
    <w:p>
      <w:pPr>
        <w:pStyle w:val="FirstParagraph"/>
      </w:pPr>
      <w:r>
        <w:t xml:space="preserve">The Central Coast LGA comprises approximately</w:t>
      </w:r>
      <w:r>
        <w:t xml:space="preserve"> </w:t>
      </w:r>
      <w:r>
        <w:rPr>
          <w:b/>
        </w:rPr>
        <w:t xml:space="preserve">332,000 residents</w:t>
      </w:r>
      <w:r>
        <w:t xml:space="preserve"> </w:t>
      </w:r>
      <w:r>
        <w:t xml:space="preserve">across 30 SA2 areas split between</w:t>
      </w:r>
      <w:r>
        <w:t xml:space="preserve"> </w:t>
      </w:r>
      <w:r>
        <w:rPr>
          <w:b/>
        </w:rPr>
        <w:t xml:space="preserve">Gosford</w:t>
      </w:r>
      <w:r>
        <w:t xml:space="preserve"> </w:t>
      </w:r>
      <w:r>
        <w:t xml:space="preserve">and</w:t>
      </w:r>
      <w:r>
        <w:t xml:space="preserve"> </w:t>
      </w:r>
      <w:r>
        <w:rPr>
          <w:b/>
        </w:rPr>
        <w:t xml:space="preserve">Wyong</w:t>
      </w:r>
      <w:r>
        <w:t xml:space="preserve"> </w:t>
      </w:r>
      <w:r>
        <w:t xml:space="preserve">SA3 regions, exhibiting stark socioeconomic contrasts. The region faces moderate population growth (+0.9% average), driven primarily by overseas migration offsetting natural decline and internal migration losses in many areas. While coastal suburbs like</w:t>
      </w:r>
      <w:r>
        <w:t xml:space="preserve"> </w:t>
      </w:r>
      <w:r>
        <w:rPr>
          <w:b/>
        </w:rPr>
        <w:t xml:space="preserve">Avoca Beach-Copacabana</w:t>
      </w:r>
      <w:r>
        <w:t xml:space="preserve"> </w:t>
      </w:r>
      <w:r>
        <w:t xml:space="preserve">($1,869/week median income) and</w:t>
      </w:r>
      <w:r>
        <w:t xml:space="preserve"> </w:t>
      </w:r>
      <w:r>
        <w:rPr>
          <w:b/>
        </w:rPr>
        <w:t xml:space="preserve">Terrigal-North Avoca</w:t>
      </w:r>
      <w:r>
        <w:t xml:space="preserve"> </w:t>
      </w:r>
      <w:r>
        <w:t xml:space="preserve">($1,760/week) demonstrate prosperity, inland areas such as</w:t>
      </w:r>
      <w:r>
        <w:t xml:space="preserve"> </w:t>
      </w:r>
      <w:r>
        <w:rPr>
          <w:b/>
        </w:rPr>
        <w:t xml:space="preserve">Blue Haven-San Remo</w:t>
      </w:r>
      <w:r>
        <w:t xml:space="preserve"> </w:t>
      </w:r>
      <w:r>
        <w:t xml:space="preserve">($1,250/week) and</w:t>
      </w:r>
      <w:r>
        <w:t xml:space="preserve"> </w:t>
      </w:r>
      <w:r>
        <w:rPr>
          <w:b/>
        </w:rPr>
        <w:t xml:space="preserve">Wyong</w:t>
      </w:r>
      <w:r>
        <w:t xml:space="preserve"> </w:t>
      </w:r>
      <w:r>
        <w:t xml:space="preserve">($1,056/week) struggle with unemployment rates exceeding 6%.</w:t>
      </w:r>
    </w:p>
    <w:p>
      <w:pPr>
        <w:pStyle w:val="BodyText"/>
      </w:pPr>
      <w:r>
        <w:rPr>
          <w:b/>
        </w:rPr>
        <w:t xml:space="preserve">Five headline findings:</w:t>
      </w:r>
    </w:p>
    <w:p>
      <w:pPr>
        <w:numPr>
          <w:ilvl w:val="0"/>
          <w:numId w:val="1001"/>
        </w:numPr>
        <w:pStyle w:val="Compact"/>
      </w:pPr>
      <w:r>
        <w:rPr>
          <w:b/>
        </w:rPr>
        <w:t xml:space="preserve">Regional inequality</w:t>
      </w:r>
      <w:r>
        <w:t xml:space="preserve">: Median household income ranges from $1,056/week (</w:t>
      </w:r>
      <w:r>
        <w:rPr>
          <w:b/>
        </w:rPr>
        <w:t xml:space="preserve">Wyong</w:t>
      </w:r>
      <w:r>
        <w:t xml:space="preserve">) to $1,942/week (</w:t>
      </w:r>
      <w:r>
        <w:rPr>
          <w:b/>
        </w:rPr>
        <w:t xml:space="preserve">Jilliby-Yarramalong</w:t>
      </w:r>
      <w:r>
        <w:t xml:space="preserve">), reflecting an 84% gap</w:t>
      </w:r>
    </w:p>
    <w:p>
      <w:pPr>
        <w:numPr>
          <w:ilvl w:val="0"/>
          <w:numId w:val="1001"/>
        </w:numPr>
        <w:pStyle w:val="Compact"/>
      </w:pPr>
      <w:r>
        <w:rPr>
          <w:b/>
        </w:rPr>
        <w:t xml:space="preserve">Housing affordability crisis</w:t>
      </w:r>
      <w:r>
        <w:t xml:space="preserve">: Median house prices reach $1,947,000 in</w:t>
      </w:r>
      <w:r>
        <w:t xml:space="preserve"> </w:t>
      </w:r>
      <w:r>
        <w:rPr>
          <w:b/>
        </w:rPr>
        <w:t xml:space="preserve">Erina-Green Point</w:t>
      </w:r>
      <w:r>
        <w:t xml:space="preserve"> </w:t>
      </w:r>
      <w:r>
        <w:t xml:space="preserve">versus $820,500 in</w:t>
      </w:r>
      <w:r>
        <w:t xml:space="preserve"> </w:t>
      </w:r>
      <w:r>
        <w:rPr>
          <w:b/>
        </w:rPr>
        <w:t xml:space="preserve">Tuggerah-Kangy Angy</w:t>
      </w:r>
      <w:r>
        <w:t xml:space="preserve">; price-to-income ratios exceed 90 weeks in disadvantaged areas</w:t>
      </w:r>
    </w:p>
    <w:p>
      <w:pPr>
        <w:numPr>
          <w:ilvl w:val="0"/>
          <w:numId w:val="1001"/>
        </w:numPr>
        <w:pStyle w:val="Compact"/>
      </w:pPr>
      <w:r>
        <w:rPr>
          <w:b/>
        </w:rPr>
        <w:t xml:space="preserve">Welfare dependency</w:t>
      </w:r>
      <w:r>
        <w:t xml:space="preserve">:</w:t>
      </w:r>
      <w:r>
        <w:t xml:space="preserve"> </w:t>
      </w:r>
      <w:r>
        <w:rPr>
          <w:b/>
        </w:rPr>
        <w:t xml:space="preserve">Wyong</w:t>
      </w:r>
      <w:r>
        <w:t xml:space="preserve"> </w:t>
      </w:r>
      <w:r>
        <w:t xml:space="preserve">SA2 has 615 JobSeeker recipients (8.9% unemployment);</w:t>
      </w:r>
      <w:r>
        <w:t xml:space="preserve"> </w:t>
      </w:r>
      <w:r>
        <w:rPr>
          <w:b/>
        </w:rPr>
        <w:t xml:space="preserve">Gorokan-Kanwal-Charmhaven</w:t>
      </w:r>
      <w:r>
        <w:t xml:space="preserve"> </w:t>
      </w:r>
      <w:r>
        <w:t xml:space="preserve">records 1,175 recipients with 1,535 on Disability Support Pension</w:t>
      </w:r>
    </w:p>
    <w:p>
      <w:pPr>
        <w:numPr>
          <w:ilvl w:val="0"/>
          <w:numId w:val="1001"/>
        </w:numPr>
        <w:pStyle w:val="Compact"/>
      </w:pPr>
      <w:r>
        <w:rPr>
          <w:b/>
        </w:rPr>
        <w:t xml:space="preserve">Crime concentration</w:t>
      </w:r>
      <w:r>
        <w:t xml:space="preserve">:</w:t>
      </w:r>
      <w:r>
        <w:t xml:space="preserve"> </w:t>
      </w:r>
      <w:r>
        <w:rPr>
          <w:b/>
        </w:rPr>
        <w:t xml:space="preserve">Wyong</w:t>
      </w:r>
      <w:r>
        <w:t xml:space="preserve"> </w:t>
      </w:r>
      <w:r>
        <w:t xml:space="preserve">SA2 records assault rates of 12.36 per 1,000 (highest) compared to 0.09 in</w:t>
      </w:r>
      <w:r>
        <w:t xml:space="preserve"> </w:t>
      </w:r>
      <w:r>
        <w:rPr>
          <w:b/>
        </w:rPr>
        <w:t xml:space="preserve">Lake Munmorah-Mannering Park</w:t>
      </w:r>
      <w:r>
        <w:t xml:space="preserve"> </w:t>
      </w:r>
      <w:r>
        <w:t xml:space="preserve">(lowest); theft peaks at 83.09 per 1,000 in</w:t>
      </w:r>
      <w:r>
        <w:t xml:space="preserve"> </w:t>
      </w:r>
      <w:r>
        <w:rPr>
          <w:b/>
        </w:rPr>
        <w:t xml:space="preserve">Tuggerah-Kangy Angy</w:t>
      </w:r>
    </w:p>
    <w:p>
      <w:pPr>
        <w:numPr>
          <w:ilvl w:val="0"/>
          <w:numId w:val="1001"/>
        </w:numPr>
        <w:pStyle w:val="Compact"/>
      </w:pPr>
      <w:r>
        <w:rPr>
          <w:b/>
        </w:rPr>
        <w:t xml:space="preserve">Development shift</w:t>
      </w:r>
      <w:r>
        <w:t xml:space="preserve">:</w:t>
      </w:r>
      <w:r>
        <w:t xml:space="preserve"> </w:t>
      </w:r>
      <w:r>
        <w:rPr>
          <w:b/>
        </w:rPr>
        <w:t xml:space="preserve">Warnervale-Wadalba</w:t>
      </w:r>
      <w:r>
        <w:t xml:space="preserve"> </w:t>
      </w:r>
      <w:r>
        <w:t xml:space="preserve">led approvals with 250 dwellings ($104M building value), signaling growth corridor expansion</w:t>
      </w:r>
    </w:p>
    <w:p>
      <w:pPr>
        <w:pStyle w:val="Heading2"/>
      </w:pPr>
      <w:bookmarkStart w:id="22" w:name="population-demographics"/>
      <w:r>
        <w:t xml:space="preserve">1. Population &amp; Demographics</w:t>
      </w:r>
      <w:bookmarkEnd w:id="22"/>
    </w:p>
    <w:p>
      <w:pPr>
        <w:pStyle w:val="FirstParagraph"/>
      </w:pPr>
      <w:r>
        <w:t xml:space="preserve">The Central Coast’s population totals approximately</w:t>
      </w:r>
      <w:r>
        <w:t xml:space="preserve"> </w:t>
      </w:r>
      <w:r>
        <w:rPr>
          <w:b/>
        </w:rPr>
        <w:t xml:space="preserve">332,000</w:t>
      </w:r>
      <w:r>
        <w:t xml:space="preserve"> </w:t>
      </w:r>
      <w:r>
        <w:t xml:space="preserve">across 30 SA2 areas, with uneven growth patterns.</w:t>
      </w:r>
      <w:r>
        <w:t xml:space="preserve"> </w:t>
      </w:r>
      <w:r>
        <w:rPr>
          <w:b/>
        </w:rPr>
        <w:t xml:space="preserve">Warnervale-Wadalba</w:t>
      </w:r>
      <w:r>
        <w:t xml:space="preserve"> </w:t>
      </w:r>
      <w:r>
        <w:t xml:space="preserve">recorded the strongest growth (+650 persons, +2.9%) driven by internal migration (+469) and overseas arrivals (+122), while</w:t>
      </w:r>
      <w:r>
        <w:t xml:space="preserve"> </w:t>
      </w:r>
      <w:r>
        <w:rPr>
          <w:b/>
        </w:rPr>
        <w:t xml:space="preserve">Toukley-Norah Head</w:t>
      </w:r>
      <w:r>
        <w:t xml:space="preserve"> </w:t>
      </w:r>
      <w:r>
        <w:t xml:space="preserve">declined (-19 persons) due to natural decrease (-111 deaths vs births).</w:t>
      </w:r>
    </w:p>
    <w:p>
      <w:pPr>
        <w:pStyle w:val="BodyText"/>
      </w:pPr>
      <w:r>
        <w:rPr>
          <w:b/>
        </w:rPr>
        <w:t xml:space="preserve">Age profile</w:t>
      </w:r>
      <w:r>
        <w:t xml:space="preserve"> </w:t>
      </w:r>
      <w:r>
        <w:t xml:space="preserve">varies dramatically: retirement-focused</w:t>
      </w:r>
      <w:r>
        <w:t xml:space="preserve"> </w:t>
      </w:r>
      <w:r>
        <w:rPr>
          <w:b/>
        </w:rPr>
        <w:t xml:space="preserve">Lake Munmorah-Mannering Park</w:t>
      </w:r>
      <w:r>
        <w:t xml:space="preserve"> </w:t>
      </w:r>
      <w:r>
        <w:t xml:space="preserve">has 25.7% aged over 69 (median age 49), while growth areas like</w:t>
      </w:r>
      <w:r>
        <w:t xml:space="preserve"> </w:t>
      </w:r>
      <w:r>
        <w:rPr>
          <w:b/>
        </w:rPr>
        <w:t xml:space="preserve">Warnervale-Wadalba</w:t>
      </w:r>
      <w:r>
        <w:t xml:space="preserve"> </w:t>
      </w:r>
      <w:r>
        <w:t xml:space="preserve">and</w:t>
      </w:r>
      <w:r>
        <w:t xml:space="preserve"> </w:t>
      </w:r>
      <w:r>
        <w:rPr>
          <w:b/>
        </w:rPr>
        <w:t xml:space="preserve">Blue Haven-San Remo</w:t>
      </w:r>
      <w:r>
        <w:t xml:space="preserve"> </w:t>
      </w:r>
      <w:r>
        <w:t xml:space="preserve">skew younger (median age 35, both) with 31.45% and 29.24% under 20 respectively. The LGA-wide median hovers around 40-45 years.</w:t>
      </w:r>
    </w:p>
    <w:p>
      <w:pPr>
        <w:pStyle w:val="BodyText"/>
      </w:pPr>
      <w:r>
        <w:rPr>
          <w:b/>
        </w:rPr>
        <w:t xml:space="preserve">Migration patterns</w:t>
      </w:r>
      <w:r>
        <w:t xml:space="preserve"> </w:t>
      </w:r>
      <w:r>
        <w:t xml:space="preserve">reveal overseas migration dominates growth (most SA2s +20 to +224 persons) while internal migration shows net loss in 16 of 30 areas, particularly coastal retirement zones like</w:t>
      </w:r>
      <w:r>
        <w:t xml:space="preserve"> </w:t>
      </w:r>
      <w:r>
        <w:rPr>
          <w:b/>
        </w:rPr>
        <w:t xml:space="preserve">The Entrance</w:t>
      </w:r>
      <w:r>
        <w:t xml:space="preserve"> </w:t>
      </w:r>
      <w:r>
        <w:t xml:space="preserve">(+25 internal) versus</w:t>
      </w:r>
      <w:r>
        <w:t xml:space="preserve"> </w:t>
      </w:r>
      <w:r>
        <w:rPr>
          <w:b/>
        </w:rPr>
        <w:t xml:space="preserve">Avoca Beach-Copacabana</w:t>
      </w:r>
      <w:r>
        <w:t xml:space="preserve"> </w:t>
      </w:r>
      <w:r>
        <w:t xml:space="preserve">(-37) and</w:t>
      </w:r>
      <w:r>
        <w:t xml:space="preserve"> </w:t>
      </w:r>
      <w:r>
        <w:rPr>
          <w:b/>
        </w:rPr>
        <w:t xml:space="preserve">Terrigal-North Avoca</w:t>
      </w:r>
      <w:r>
        <w:t xml:space="preserve"> </w:t>
      </w:r>
      <w:r>
        <w:t xml:space="preserve">(-78).</w:t>
      </w:r>
    </w:p>
    <w:p>
      <w:pPr>
        <w:pStyle w:val="BodyText"/>
      </w:pPr>
      <w:r>
        <w:rPr>
          <w:b/>
        </w:rPr>
        <w:t xml:space="preserve">Indigenous populations</w:t>
      </w:r>
      <w:r>
        <w:t xml:space="preserve"> </w:t>
      </w:r>
      <w:r>
        <w:t xml:space="preserve">range from 1.59% (</w:t>
      </w:r>
      <w:r>
        <w:rPr>
          <w:b/>
        </w:rPr>
        <w:t xml:space="preserve">Terrigal-North Avoca</w:t>
      </w:r>
      <w:r>
        <w:t xml:space="preserve">, 212 persons) to 7.78% (</w:t>
      </w:r>
      <w:r>
        <w:rPr>
          <w:b/>
        </w:rPr>
        <w:t xml:space="preserve">Blue Haven-San Remo</w:t>
      </w:r>
      <w:r>
        <w:t xml:space="preserve">, 859 persons), with</w:t>
      </w:r>
      <w:r>
        <w:t xml:space="preserve"> </w:t>
      </w:r>
      <w:r>
        <w:rPr>
          <w:b/>
        </w:rPr>
        <w:t xml:space="preserve">Wyong</w:t>
      </w:r>
      <w:r>
        <w:t xml:space="preserve"> </w:t>
      </w:r>
      <w:r>
        <w:t xml:space="preserve">(6.61%, 583 persons) and</w:t>
      </w:r>
      <w:r>
        <w:t xml:space="preserve"> </w:t>
      </w:r>
      <w:r>
        <w:rPr>
          <w:b/>
        </w:rPr>
        <w:t xml:space="preserve">Gorokan-Kanwal-Charmhaven</w:t>
      </w:r>
      <w:r>
        <w:t xml:space="preserve"> </w:t>
      </w:r>
      <w:r>
        <w:t xml:space="preserve">(5.64%, 1,247 persons) reflecting higher concentrations.</w:t>
      </w:r>
    </w:p>
    <w:p>
      <w:pPr>
        <w:pStyle w:val="BodyText"/>
      </w:pPr>
      <w:r>
        <w:rPr>
          <w:b/>
        </w:rPr>
        <w:t xml:space="preserve">Cultural diversity</w:t>
      </w:r>
      <w:r>
        <w:t xml:space="preserve"> </w:t>
      </w:r>
      <w:r>
        <w:t xml:space="preserve">remains modest: born overseas ranges from 10.06% (</w:t>
      </w:r>
      <w:r>
        <w:rPr>
          <w:b/>
        </w:rPr>
        <w:t xml:space="preserve">Blue Haven-San Remo</w:t>
      </w:r>
      <w:r>
        <w:t xml:space="preserve">) to 21.21% (</w:t>
      </w:r>
      <w:r>
        <w:rPr>
          <w:b/>
        </w:rPr>
        <w:t xml:space="preserve">Gosford-Springfield</w:t>
      </w:r>
      <w:r>
        <w:t xml:space="preserve">). Language other than English peaks at 13.21% in</w:t>
      </w:r>
      <w:r>
        <w:t xml:space="preserve"> </w:t>
      </w:r>
      <w:r>
        <w:rPr>
          <w:b/>
        </w:rPr>
        <w:t xml:space="preserve">Gosford-Springfield</w:t>
      </w:r>
      <w:r>
        <w:t xml:space="preserve"> </w:t>
      </w:r>
      <w:r>
        <w:t xml:space="preserve">but remains under 10% across most SA2s, indicating predominantly Anglo-Australian demographics.</w:t>
      </w:r>
    </w:p>
    <w:p>
      <w:pPr>
        <w:pStyle w:val="Heading2"/>
      </w:pPr>
      <w:bookmarkStart w:id="23" w:name="economic-activity-business"/>
      <w:r>
        <w:t xml:space="preserve">2. Economic Activity &amp; Business</w:t>
      </w:r>
      <w:bookmarkEnd w:id="23"/>
    </w:p>
    <w:p>
      <w:pPr>
        <w:pStyle w:val="FirstParagraph"/>
      </w:pPr>
      <w:r>
        <w:t xml:space="preserve">The region hosts approximately</w:t>
      </w:r>
      <w:r>
        <w:t xml:space="preserve"> </w:t>
      </w:r>
      <w:r>
        <w:rPr>
          <w:b/>
        </w:rPr>
        <w:t xml:space="preserve">32,000 businesses</w:t>
      </w:r>
      <w:r>
        <w:t xml:space="preserve"> </w:t>
      </w:r>
      <w:r>
        <w:t xml:space="preserve">concentrated in commercial hubs:</w:t>
      </w:r>
      <w:r>
        <w:t xml:space="preserve"> </w:t>
      </w:r>
      <w:r>
        <w:rPr>
          <w:b/>
        </w:rPr>
        <w:t xml:space="preserve">Gosford-Springfield</w:t>
      </w:r>
      <w:r>
        <w:t xml:space="preserve"> </w:t>
      </w:r>
      <w:r>
        <w:t xml:space="preserve">(2,629 businesses, 150 manufacturing, 335 healthcare) and</w:t>
      </w:r>
      <w:r>
        <w:t xml:space="preserve"> </w:t>
      </w:r>
      <w:r>
        <w:rPr>
          <w:b/>
        </w:rPr>
        <w:t xml:space="preserve">The Entrance</w:t>
      </w:r>
      <w:r>
        <w:t xml:space="preserve"> </w:t>
      </w:r>
      <w:r>
        <w:t xml:space="preserve">(1,237 businesses, 94 tourism). Healthcare businesses dominate growth suburbs like</w:t>
      </w:r>
      <w:r>
        <w:t xml:space="preserve"> </w:t>
      </w:r>
      <w:r>
        <w:rPr>
          <w:b/>
        </w:rPr>
        <w:t xml:space="preserve">Wamberal-Forresters Beach</w:t>
      </w:r>
      <w:r>
        <w:t xml:space="preserve"> </w:t>
      </w:r>
      <w:r>
        <w:t xml:space="preserve">(144) and</w:t>
      </w:r>
      <w:r>
        <w:t xml:space="preserve"> </w:t>
      </w:r>
      <w:r>
        <w:rPr>
          <w:b/>
        </w:rPr>
        <w:t xml:space="preserve">Terrigal-North Avoca</w:t>
      </w:r>
      <w:r>
        <w:t xml:space="preserve"> </w:t>
      </w:r>
      <w:r>
        <w:t xml:space="preserve">(202), reflecting aging demographics.</w:t>
      </w:r>
    </w:p>
    <w:p>
      <w:pPr>
        <w:pStyle w:val="BodyText"/>
      </w:pPr>
      <w:r>
        <w:rPr>
          <w:b/>
        </w:rPr>
        <w:t xml:space="preserve">Labour force participation</w:t>
      </w:r>
      <w:r>
        <w:t xml:space="preserve"> </w:t>
      </w:r>
      <w:r>
        <w:t xml:space="preserve">totals ~210,000, but</w:t>
      </w:r>
      <w:r>
        <w:t xml:space="preserve"> </w:t>
      </w:r>
      <w:r>
        <w:rPr>
          <w:b/>
        </w:rPr>
        <w:t xml:space="preserve">unemployment disparities</w:t>
      </w:r>
      <w:r>
        <w:t xml:space="preserve"> </w:t>
      </w:r>
      <w:r>
        <w:t xml:space="preserve">are severe:</w:t>
      </w:r>
    </w:p>
    <w:tbl>
      <w:tblPr>
        <w:tblStyle w:val="Table"/>
        <w:tblW w:type="pct" w:w="0.0"/>
        <w:tblLook w:firstRow="1"/>
      </w:tblPr>
      <w:tblGrid/>
      <w:tr>
        <w:trPr>
          <w:cnfStyle w:firstRow="1"/>
        </w:trPr>
        <w:tc>
          <w:tcPr>
            <w:tcBorders>
              <w:bottom w:val="single"/>
            </w:tcBorders>
            <w:vAlign w:val="bottom"/>
          </w:tcPr>
          <w:p>
            <w:pPr>
              <w:pStyle w:val="Compact"/>
              <w:jc w:val="left"/>
            </w:pPr>
            <w:r>
              <w:t xml:space="preserve">SA2</w:t>
            </w:r>
          </w:p>
        </w:tc>
        <w:tc>
          <w:tcPr>
            <w:tcBorders>
              <w:bottom w:val="single"/>
            </w:tcBorders>
            <w:vAlign w:val="bottom"/>
          </w:tcPr>
          <w:p>
            <w:pPr>
              <w:pStyle w:val="Compact"/>
              <w:jc w:val="left"/>
            </w:pPr>
            <w:r>
              <w:t xml:space="preserve">Unemployment Rate</w:t>
            </w:r>
          </w:p>
        </w:tc>
        <w:tc>
          <w:tcPr>
            <w:tcBorders>
              <w:bottom w:val="single"/>
            </w:tcBorders>
            <w:vAlign w:val="bottom"/>
          </w:tcPr>
          <w:p>
            <w:pPr>
              <w:pStyle w:val="Compact"/>
              <w:jc w:val="left"/>
            </w:pPr>
            <w:r>
              <w:t xml:space="preserve">JobSeeker Recipients</w:t>
            </w:r>
          </w:p>
        </w:tc>
      </w:tr>
      <w:tr>
        <w:tc>
          <w:p>
            <w:pPr>
              <w:pStyle w:val="Compact"/>
              <w:jc w:val="left"/>
            </w:pPr>
            <w:r>
              <w:rPr>
                <w:b/>
              </w:rPr>
              <w:t xml:space="preserve">Wyong</w:t>
            </w:r>
          </w:p>
        </w:tc>
        <w:tc>
          <w:p>
            <w:pPr>
              <w:pStyle w:val="Compact"/>
              <w:jc w:val="left"/>
            </w:pPr>
            <w:r>
              <w:t xml:space="preserve">8.9%</w:t>
            </w:r>
          </w:p>
        </w:tc>
        <w:tc>
          <w:p>
            <w:pPr>
              <w:pStyle w:val="Compact"/>
              <w:jc w:val="left"/>
            </w:pPr>
            <w:r>
              <w:t xml:space="preserve">615</w:t>
            </w:r>
          </w:p>
        </w:tc>
      </w:tr>
      <w:tr>
        <w:tc>
          <w:p>
            <w:pPr>
              <w:pStyle w:val="Compact"/>
              <w:jc w:val="left"/>
            </w:pPr>
            <w:r>
              <w:rPr>
                <w:b/>
              </w:rPr>
              <w:t xml:space="preserve">Gorokan-Kanwal-Charmhaven</w:t>
            </w:r>
          </w:p>
        </w:tc>
        <w:tc>
          <w:p>
            <w:pPr>
              <w:pStyle w:val="Compact"/>
              <w:jc w:val="left"/>
            </w:pPr>
            <w:r>
              <w:t xml:space="preserve">6.1%</w:t>
            </w:r>
          </w:p>
        </w:tc>
        <w:tc>
          <w:p>
            <w:pPr>
              <w:pStyle w:val="Compact"/>
              <w:jc w:val="left"/>
            </w:pPr>
            <w:r>
              <w:t xml:space="preserve">1,175</w:t>
            </w:r>
          </w:p>
        </w:tc>
      </w:tr>
      <w:tr>
        <w:tc>
          <w:p>
            <w:pPr>
              <w:pStyle w:val="Compact"/>
              <w:jc w:val="left"/>
            </w:pPr>
            <w:r>
              <w:rPr>
                <w:b/>
              </w:rPr>
              <w:t xml:space="preserve">Blue Haven-San Remo</w:t>
            </w:r>
          </w:p>
        </w:tc>
        <w:tc>
          <w:p>
            <w:pPr>
              <w:pStyle w:val="Compact"/>
              <w:jc w:val="left"/>
            </w:pPr>
            <w:r>
              <w:t xml:space="preserve">6.2%</w:t>
            </w:r>
          </w:p>
        </w:tc>
        <w:tc>
          <w:p>
            <w:pPr>
              <w:pStyle w:val="Compact"/>
              <w:jc w:val="left"/>
            </w:pPr>
            <w:r>
              <w:t xml:space="preserve">595</w:t>
            </w:r>
          </w:p>
        </w:tc>
      </w:tr>
      <w:tr>
        <w:tc>
          <w:p>
            <w:pPr>
              <w:pStyle w:val="Compact"/>
              <w:jc w:val="left"/>
            </w:pPr>
            <w:r>
              <w:rPr>
                <w:b/>
              </w:rPr>
              <w:t xml:space="preserve">Avoca Beach-Copacabana</w:t>
            </w:r>
          </w:p>
        </w:tc>
        <w:tc>
          <w:p>
            <w:pPr>
              <w:pStyle w:val="Compact"/>
              <w:jc w:val="left"/>
            </w:pPr>
            <w:r>
              <w:t xml:space="preserve">1.2%</w:t>
            </w:r>
          </w:p>
        </w:tc>
        <w:tc>
          <w:p>
            <w:pPr>
              <w:pStyle w:val="Compact"/>
              <w:jc w:val="left"/>
            </w:pPr>
            <w:r>
              <w:t xml:space="preserve">130</w:t>
            </w:r>
          </w:p>
        </w:tc>
      </w:tr>
      <w:tr>
        <w:tc>
          <w:p>
            <w:pPr>
              <w:pStyle w:val="Compact"/>
              <w:jc w:val="left"/>
            </w:pPr>
            <w:r>
              <w:rPr>
                <w:b/>
              </w:rPr>
              <w:t xml:space="preserve">Terrigal-North Avoca</w:t>
            </w:r>
          </w:p>
        </w:tc>
        <w:tc>
          <w:p>
            <w:pPr>
              <w:pStyle w:val="Compact"/>
              <w:jc w:val="left"/>
            </w:pPr>
            <w:r>
              <w:t xml:space="preserve">1.4%</w:t>
            </w:r>
          </w:p>
        </w:tc>
        <w:tc>
          <w:p>
            <w:pPr>
              <w:pStyle w:val="Compact"/>
              <w:jc w:val="left"/>
            </w:pPr>
            <w:r>
              <w:t xml:space="preserve">275</w:t>
            </w:r>
          </w:p>
        </w:tc>
      </w:tr>
    </w:tbl>
    <w:p>
      <w:pPr>
        <w:pStyle w:val="BodyText"/>
      </w:pPr>
      <w:r>
        <w:rPr>
          <w:b/>
        </w:rPr>
        <w:t xml:space="preserve">Income inequality</w:t>
      </w:r>
      <w:r>
        <w:t xml:space="preserve"> </w:t>
      </w:r>
      <w:r>
        <w:t xml:space="preserve">mirrors unemployment: median household income ranges from $1,056/week (</w:t>
      </w:r>
      <w:r>
        <w:rPr>
          <w:b/>
        </w:rPr>
        <w:t xml:space="preserve">Wyong</w:t>
      </w:r>
      <w:r>
        <w:t xml:space="preserve">) to $1,942/week (</w:t>
      </w:r>
      <w:r>
        <w:rPr>
          <w:b/>
        </w:rPr>
        <w:t xml:space="preserve">Jilliby-Yarramalong</w:t>
      </w:r>
      <w:r>
        <w:t xml:space="preserve">), with affluent coastal areas (</w:t>
      </w:r>
      <w:r>
        <w:rPr>
          <w:b/>
        </w:rPr>
        <w:t xml:space="preserve">Avoca Beach</w:t>
      </w:r>
      <w:r>
        <w:t xml:space="preserve"> </w:t>
      </w:r>
      <w:r>
        <w:t xml:space="preserve">$1,869,</w:t>
      </w:r>
      <w:r>
        <w:t xml:space="preserve"> </w:t>
      </w:r>
      <w:r>
        <w:rPr>
          <w:b/>
        </w:rPr>
        <w:t xml:space="preserve">Wamberal</w:t>
      </w:r>
      <w:r>
        <w:t xml:space="preserve"> </w:t>
      </w:r>
      <w:r>
        <w:t xml:space="preserve">$1,852,</w:t>
      </w:r>
      <w:r>
        <w:t xml:space="preserve"> </w:t>
      </w:r>
      <w:r>
        <w:rPr>
          <w:b/>
        </w:rPr>
        <w:t xml:space="preserve">Terrigal</w:t>
      </w:r>
      <w:r>
        <w:t xml:space="preserve"> </w:t>
      </w:r>
      <w:r>
        <w:t xml:space="preserve">$1,760) contrasting sharply with struggling townships (</w:t>
      </w:r>
      <w:r>
        <w:rPr>
          <w:b/>
        </w:rPr>
        <w:t xml:space="preserve">Wyong</w:t>
      </w:r>
      <w:r>
        <w:t xml:space="preserve"> </w:t>
      </w:r>
      <w:r>
        <w:t xml:space="preserve">$1,056,</w:t>
      </w:r>
      <w:r>
        <w:t xml:space="preserve"> </w:t>
      </w:r>
      <w:r>
        <w:rPr>
          <w:b/>
        </w:rPr>
        <w:t xml:space="preserve">Toukley</w:t>
      </w:r>
      <w:r>
        <w:t xml:space="preserve"> </w:t>
      </w:r>
      <w:r>
        <w:t xml:space="preserve">$971,</w:t>
      </w:r>
      <w:r>
        <w:t xml:space="preserve"> </w:t>
      </w:r>
      <w:r>
        <w:rPr>
          <w:b/>
        </w:rPr>
        <w:t xml:space="preserve">Budgewoi</w:t>
      </w:r>
      <w:r>
        <w:t xml:space="preserve"> </w:t>
      </w:r>
      <w:r>
        <w:t xml:space="preserve">$1,005).</w:t>
      </w:r>
    </w:p>
    <w:p>
      <w:pPr>
        <w:pStyle w:val="BodyText"/>
      </w:pPr>
      <w:r>
        <w:t xml:space="preserve">Manufacturing concentrates in</w:t>
      </w:r>
      <w:r>
        <w:t xml:space="preserve"> </w:t>
      </w:r>
      <w:r>
        <w:rPr>
          <w:b/>
        </w:rPr>
        <w:t xml:space="preserve">Gosford-Springfield</w:t>
      </w:r>
      <w:r>
        <w:t xml:space="preserve"> </w:t>
      </w:r>
      <w:r>
        <w:t xml:space="preserve">(150 businesses) and</w:t>
      </w:r>
      <w:r>
        <w:t xml:space="preserve"> </w:t>
      </w:r>
      <w:r>
        <w:rPr>
          <w:b/>
        </w:rPr>
        <w:t xml:space="preserve">Calga-Kulnura</w:t>
      </w:r>
      <w:r>
        <w:t xml:space="preserve"> </w:t>
      </w:r>
      <w:r>
        <w:t xml:space="preserve">(98, likely rural/industrial), while tourism businesses cluster in</w:t>
      </w:r>
      <w:r>
        <w:t xml:space="preserve"> </w:t>
      </w:r>
      <w:r>
        <w:rPr>
          <w:b/>
        </w:rPr>
        <w:t xml:space="preserve">The Entrance</w:t>
      </w:r>
      <w:r>
        <w:t xml:space="preserve"> </w:t>
      </w:r>
      <w:r>
        <w:t xml:space="preserve">(94),</w:t>
      </w:r>
      <w:r>
        <w:t xml:space="preserve"> </w:t>
      </w:r>
      <w:r>
        <w:rPr>
          <w:b/>
        </w:rPr>
        <w:t xml:space="preserve">Terrigal-North Avoca</w:t>
      </w:r>
      <w:r>
        <w:t xml:space="preserve"> </w:t>
      </w:r>
      <w:r>
        <w:t xml:space="preserve">(93), and</w:t>
      </w:r>
      <w:r>
        <w:t xml:space="preserve"> </w:t>
      </w:r>
      <w:r>
        <w:rPr>
          <w:b/>
        </w:rPr>
        <w:t xml:space="preserve">Umina-Booker Bay-Patonga</w:t>
      </w:r>
      <w:r>
        <w:t xml:space="preserve"> </w:t>
      </w:r>
      <w:r>
        <w:t xml:space="preserve">(74).</w:t>
      </w:r>
    </w:p>
    <w:p>
      <w:pPr>
        <w:pStyle w:val="Heading2"/>
      </w:pPr>
      <w:bookmarkStart w:id="24" w:name="housing-affordability"/>
      <w:r>
        <w:t xml:space="preserve">3. Housing &amp; Affordability</w:t>
      </w:r>
      <w:bookmarkEnd w:id="24"/>
    </w:p>
    <w:p>
      <w:pPr>
        <w:pStyle w:val="FirstParagraph"/>
      </w:pPr>
      <w:r>
        <w:rPr>
          <w:b/>
        </w:rPr>
        <w:t xml:space="preserve">Housing markets</w:t>
      </w:r>
      <w:r>
        <w:t xml:space="preserve"> </w:t>
      </w:r>
      <w:r>
        <w:t xml:space="preserve">exhibit extreme stratification:</w:t>
      </w:r>
    </w:p>
    <w:p>
      <w:pPr>
        <w:pStyle w:val="BodyText"/>
      </w:pPr>
      <w:r>
        <w:rPr>
          <w:b/>
        </w:rPr>
        <w:t xml:space="preserve">Median house prices (July 2026):</w:t>
      </w:r>
      <w:r>
        <w:t xml:space="preserve"> </w:t>
      </w:r>
      <w:r>
        <w:t xml:space="preserve">-</w:t>
      </w:r>
      <w:r>
        <w:t xml:space="preserve"> </w:t>
      </w:r>
      <w:r>
        <w:rPr>
          <w:b/>
        </w:rPr>
        <w:t xml:space="preserve">Erina-Green Point</w:t>
      </w:r>
      <w:r>
        <w:t xml:space="preserve">: $1,947,000</w:t>
      </w:r>
      <w:r>
        <w:t xml:space="preserve"> </w:t>
      </w:r>
      <w:r>
        <w:t xml:space="preserve">-</w:t>
      </w:r>
      <w:r>
        <w:t xml:space="preserve"> </w:t>
      </w:r>
      <w:r>
        <w:rPr>
          <w:b/>
        </w:rPr>
        <w:t xml:space="preserve">Wamberal-Forresters Beach</w:t>
      </w:r>
      <w:r>
        <w:t xml:space="preserve">: $1,746,250</w:t>
      </w:r>
      <w:r>
        <w:t xml:space="preserve"> </w:t>
      </w:r>
      <w:r>
        <w:t xml:space="preserve">-</w:t>
      </w:r>
      <w:r>
        <w:t xml:space="preserve"> </w:t>
      </w:r>
      <w:r>
        <w:rPr>
          <w:b/>
        </w:rPr>
        <w:t xml:space="preserve">Box Head-MacMasters Beach</w:t>
      </w:r>
      <w:r>
        <w:t xml:space="preserve">: $1,711,857</w:t>
      </w:r>
      <w:r>
        <w:t xml:space="preserve"> </w:t>
      </w:r>
      <w:r>
        <w:t xml:space="preserve">-</w:t>
      </w:r>
      <w:r>
        <w:t xml:space="preserve"> </w:t>
      </w:r>
      <w:r>
        <w:rPr>
          <w:b/>
        </w:rPr>
        <w:t xml:space="preserve">Tuggerah-Kangy Angy</w:t>
      </w:r>
      <w:r>
        <w:t xml:space="preserve">: $820,500</w:t>
      </w:r>
      <w:r>
        <w:t xml:space="preserve"> </w:t>
      </w:r>
      <w:r>
        <w:t xml:space="preserve">-</w:t>
      </w:r>
      <w:r>
        <w:t xml:space="preserve"> </w:t>
      </w:r>
      <w:r>
        <w:rPr>
          <w:b/>
        </w:rPr>
        <w:t xml:space="preserve">Blue Haven-San Remo</w:t>
      </w:r>
      <w:r>
        <w:t xml:space="preserve">: $830,000</w:t>
      </w:r>
    </w:p>
    <w:p>
      <w:pPr>
        <w:pStyle w:val="BodyText"/>
      </w:pPr>
      <w:r>
        <w:rPr>
          <w:b/>
        </w:rPr>
        <w:t xml:space="preserve">Unit prices</w:t>
      </w:r>
      <w:r>
        <w:t xml:space="preserve"> </w:t>
      </w:r>
      <w:r>
        <w:t xml:space="preserve">follow similar patterns: $2,639,000 (</w:t>
      </w:r>
      <w:r>
        <w:rPr>
          <w:b/>
        </w:rPr>
        <w:t xml:space="preserve">Erina-Green Point</w:t>
      </w:r>
      <w:r>
        <w:t xml:space="preserve">) versus $510,000 (</w:t>
      </w:r>
      <w:r>
        <w:rPr>
          <w:b/>
        </w:rPr>
        <w:t xml:space="preserve">Budgewoi-Buff Point-Halekulani</w:t>
      </w:r>
      <w:r>
        <w:t xml:space="preserve">).</w:t>
      </w:r>
    </w:p>
    <w:p>
      <w:pPr>
        <w:pStyle w:val="BodyText"/>
      </w:pPr>
      <w:r>
        <w:rPr>
          <w:b/>
        </w:rPr>
        <w:t xml:space="preserve">Rental markets</w:t>
      </w:r>
      <w:r>
        <w:t xml:space="preserve"> </w:t>
      </w:r>
      <w:r>
        <w:t xml:space="preserve">show weekly rents ranging from $430 (units in</w:t>
      </w:r>
      <w:r>
        <w:t xml:space="preserve"> </w:t>
      </w:r>
      <w:r>
        <w:rPr>
          <w:b/>
        </w:rPr>
        <w:t xml:space="preserve">Blue Haven-San Remo</w:t>
      </w:r>
      <w:r>
        <w:t xml:space="preserve">) to $972 (houses in</w:t>
      </w:r>
      <w:r>
        <w:t xml:space="preserve"> </w:t>
      </w:r>
      <w:r>
        <w:rPr>
          <w:b/>
        </w:rPr>
        <w:t xml:space="preserve">Box Head-MacMasters Beach</w:t>
      </w:r>
      <w:r>
        <w:t xml:space="preserve">). Listing visits per property average 500-2,300, with</w:t>
      </w:r>
      <w:r>
        <w:t xml:space="preserve"> </w:t>
      </w:r>
      <w:r>
        <w:rPr>
          <w:b/>
        </w:rPr>
        <w:t xml:space="preserve">Terrigal-North Avoca</w:t>
      </w:r>
      <w:r>
        <w:t xml:space="preserve"> </w:t>
      </w:r>
      <w:r>
        <w:t xml:space="preserve">recording highest demand (2,348 visits).</w:t>
      </w:r>
    </w:p>
    <w:p>
      <w:pPr>
        <w:pStyle w:val="BodyText"/>
      </w:pPr>
      <w:r>
        <w:rPr>
          <w:b/>
        </w:rPr>
        <w:t xml:space="preserve">Development activity</w:t>
      </w:r>
      <w:r>
        <w:t xml:space="preserve"> </w:t>
      </w:r>
      <w:r>
        <w:t xml:space="preserve">concentrates in growth corridors:</w:t>
      </w:r>
      <w:r>
        <w:t xml:space="preserve"> </w:t>
      </w:r>
      <w:r>
        <w:t xml:space="preserve">-</w:t>
      </w:r>
      <w:r>
        <w:t xml:space="preserve"> </w:t>
      </w:r>
      <w:r>
        <w:rPr>
          <w:b/>
        </w:rPr>
        <w:t xml:space="preserve">Warnervale-Wadalba</w:t>
      </w:r>
      <w:r>
        <w:t xml:space="preserve">: 250 dwellings approved, $104M building value</w:t>
      </w:r>
      <w:r>
        <w:t xml:space="preserve"> </w:t>
      </w:r>
      <w:r>
        <w:t xml:space="preserve">-</w:t>
      </w:r>
      <w:r>
        <w:t xml:space="preserve"> </w:t>
      </w:r>
      <w:r>
        <w:rPr>
          <w:b/>
        </w:rPr>
        <w:t xml:space="preserve">Lake Munmorah-Mannering Park</w:t>
      </w:r>
      <w:r>
        <w:t xml:space="preserve">: 159 dwellings, $55.7M</w:t>
      </w:r>
      <w:r>
        <w:t xml:space="preserve"> </w:t>
      </w:r>
      <w:r>
        <w:t xml:space="preserve">-</w:t>
      </w:r>
      <w:r>
        <w:t xml:space="preserve"> </w:t>
      </w:r>
      <w:r>
        <w:rPr>
          <w:b/>
        </w:rPr>
        <w:t xml:space="preserve">The Entrance</w:t>
      </w:r>
      <w:r>
        <w:t xml:space="preserve">: 152 dwellings, $102M</w:t>
      </w:r>
    </w:p>
    <w:p>
      <w:pPr>
        <w:pStyle w:val="BodyText"/>
      </w:pPr>
      <w:r>
        <w:rPr>
          <w:b/>
        </w:rPr>
        <w:t xml:space="preserve">Affordability crisis indicators</w:t>
      </w:r>
      <w:r>
        <w:t xml:space="preserve">: In</w:t>
      </w:r>
      <w:r>
        <w:t xml:space="preserve"> </w:t>
      </w:r>
      <w:r>
        <w:rPr>
          <w:b/>
        </w:rPr>
        <w:t xml:space="preserve">Wyong</w:t>
      </w:r>
      <w:r>
        <w:t xml:space="preserve">, median house price ($903,888) represents 85.6 weeks of median household income ($1,056/week).</w:t>
      </w:r>
      <w:r>
        <w:t xml:space="preserve"> </w:t>
      </w:r>
      <w:r>
        <w:rPr>
          <w:b/>
        </w:rPr>
        <w:t xml:space="preserve">Gorokan-Kanwal-Charmhaven</w:t>
      </w:r>
      <w:r>
        <w:t xml:space="preserve"> </w:t>
      </w:r>
      <w:r>
        <w:t xml:space="preserve">shows similar stress: $879,255 house price against $1,051/week income (83.7 weeks). Even assuming dual incomes, price-to-income ratios exceed 8-10 years for purchase.</w:t>
      </w:r>
    </w:p>
    <w:p>
      <w:pPr>
        <w:pStyle w:val="Heading2"/>
      </w:pPr>
      <w:bookmarkStart w:id="25" w:name="socioeconomic-wellbeing"/>
      <w:r>
        <w:t xml:space="preserve">4. Socioeconomic Wellbeing</w:t>
      </w:r>
      <w:bookmarkEnd w:id="25"/>
    </w:p>
    <w:p>
      <w:pPr>
        <w:pStyle w:val="FirstParagraph"/>
      </w:pPr>
      <w:r>
        <w:rPr>
          <w:b/>
        </w:rPr>
        <w:t xml:space="preserve">SEIFA indices</w:t>
      </w:r>
      <w:r>
        <w:t xml:space="preserve"> </w:t>
      </w:r>
      <w:r>
        <w:t xml:space="preserve">(where 1000 = national average) reveal deep disadvantage:</w:t>
      </w:r>
    </w:p>
    <w:p>
      <w:pPr>
        <w:pStyle w:val="BodyText"/>
      </w:pPr>
      <w:r>
        <w:rPr>
          <w:b/>
        </w:rPr>
        <w:t xml:space="preserve">Most disadvantaged (IRSAD):</w:t>
      </w:r>
      <w:r>
        <w:t xml:space="preserve"> </w:t>
      </w:r>
      <w:r>
        <w:t xml:space="preserve">-</w:t>
      </w:r>
      <w:r>
        <w:t xml:space="preserve"> </w:t>
      </w:r>
      <w:r>
        <w:rPr>
          <w:b/>
        </w:rPr>
        <w:t xml:space="preserve">Blue Haven-San Remo</w:t>
      </w:r>
      <w:r>
        <w:t xml:space="preserve">: 855.15 (education/occupation index)</w:t>
      </w:r>
      <w:r>
        <w:t xml:space="preserve"> </w:t>
      </w:r>
      <w:r>
        <w:t xml:space="preserve">-</w:t>
      </w:r>
      <w:r>
        <w:t xml:space="preserve"> </w:t>
      </w:r>
      <w:r>
        <w:rPr>
          <w:b/>
        </w:rPr>
        <w:t xml:space="preserve">Lake Munmorah-Mannering Park</w:t>
      </w:r>
      <w:r>
        <w:t xml:space="preserve">: 872.81</w:t>
      </w:r>
      <w:r>
        <w:t xml:space="preserve"> </w:t>
      </w:r>
      <w:r>
        <w:t xml:space="preserve">-</w:t>
      </w:r>
      <w:r>
        <w:t xml:space="preserve"> </w:t>
      </w:r>
      <w:r>
        <w:rPr>
          <w:b/>
        </w:rPr>
        <w:t xml:space="preserve">Gorokan-Kanwal-Charmhaven</w:t>
      </w:r>
      <w:r>
        <w:t xml:space="preserve">: 875.68</w:t>
      </w:r>
      <w:r>
        <w:t xml:space="preserve"> </w:t>
      </w:r>
      <w:r>
        <w:t xml:space="preserve">-</w:t>
      </w:r>
      <w:r>
        <w:t xml:space="preserve"> </w:t>
      </w:r>
      <w:r>
        <w:rPr>
          <w:b/>
        </w:rPr>
        <w:t xml:space="preserve">Wyong</w:t>
      </w:r>
      <w:r>
        <w:t xml:space="preserve">: 897.04</w:t>
      </w:r>
    </w:p>
    <w:p>
      <w:pPr>
        <w:pStyle w:val="BodyText"/>
      </w:pPr>
      <w:r>
        <w:rPr>
          <w:b/>
        </w:rPr>
        <w:t xml:space="preserve">Most advantaged:</w:t>
      </w:r>
      <w:r>
        <w:t xml:space="preserve"> </w:t>
      </w:r>
      <w:r>
        <w:t xml:space="preserve">-</w:t>
      </w:r>
      <w:r>
        <w:t xml:space="preserve"> </w:t>
      </w:r>
      <w:r>
        <w:rPr>
          <w:b/>
        </w:rPr>
        <w:t xml:space="preserve">Avoca Beach-Copacabana</w:t>
      </w:r>
      <w:r>
        <w:t xml:space="preserve">: 1,084.27</w:t>
      </w:r>
      <w:r>
        <w:t xml:space="preserve"> </w:t>
      </w:r>
      <w:r>
        <w:t xml:space="preserve">-</w:t>
      </w:r>
      <w:r>
        <w:t xml:space="preserve"> </w:t>
      </w:r>
      <w:r>
        <w:rPr>
          <w:b/>
        </w:rPr>
        <w:t xml:space="preserve">Terrigal-North Avoca</w:t>
      </w:r>
      <w:r>
        <w:t xml:space="preserve">: 1,077.87</w:t>
      </w:r>
      <w:r>
        <w:t xml:space="preserve"> </w:t>
      </w:r>
      <w:r>
        <w:t xml:space="preserve">-</w:t>
      </w:r>
      <w:r>
        <w:t xml:space="preserve"> </w:t>
      </w:r>
      <w:r>
        <w:rPr>
          <w:b/>
        </w:rPr>
        <w:t xml:space="preserve">Wamberal-Forresters Beach</w:t>
      </w:r>
      <w:r>
        <w:t xml:space="preserve">: 1,059.69</w:t>
      </w:r>
    </w:p>
    <w:p>
      <w:pPr>
        <w:pStyle w:val="BodyText"/>
      </w:pPr>
      <w:r>
        <w:rPr>
          <w:b/>
        </w:rPr>
        <w:t xml:space="preserve">Welfare dependency</w:t>
      </w:r>
      <w:r>
        <w:t xml:space="preserve"> </w:t>
      </w:r>
      <w:r>
        <w:t xml:space="preserve">is concentrated:</w:t>
      </w:r>
      <w:r>
        <w:t xml:space="preserve"> </w:t>
      </w:r>
      <w:r>
        <w:t xml:space="preserve">-</w:t>
      </w:r>
      <w:r>
        <w:t xml:space="preserve"> </w:t>
      </w:r>
      <w:r>
        <w:rPr>
          <w:b/>
        </w:rPr>
        <w:t xml:space="preserve">Gorokan-Kanwal-Charmhaven</w:t>
      </w:r>
      <w:r>
        <w:t xml:space="preserve">: 1,535 on Disability Support Pension, 3,555 Age Pensioners, 6,935 Pension Concession Card holders (30.5% of population)</w:t>
      </w:r>
      <w:r>
        <w:t xml:space="preserve"> </w:t>
      </w:r>
      <w:r>
        <w:t xml:space="preserve">-</w:t>
      </w:r>
      <w:r>
        <w:t xml:space="preserve"> </w:t>
      </w:r>
      <w:r>
        <w:rPr>
          <w:b/>
        </w:rPr>
        <w:t xml:space="preserve">Wyong</w:t>
      </w:r>
      <w:r>
        <w:t xml:space="preserve">: 770 DSP, 2,755 concession cards (29.4% of population)</w:t>
      </w:r>
      <w:r>
        <w:t xml:space="preserve"> </w:t>
      </w:r>
      <w:r>
        <w:t xml:space="preserve">-</w:t>
      </w:r>
      <w:r>
        <w:t xml:space="preserve"> </w:t>
      </w:r>
      <w:r>
        <w:rPr>
          <w:b/>
        </w:rPr>
        <w:t xml:space="preserve">The Entrance</w:t>
      </w:r>
      <w:r>
        <w:t xml:space="preserve">: 930 DSP, 4,745 concession cards (29.4% of population)</w:t>
      </w:r>
    </w:p>
    <w:p>
      <w:pPr>
        <w:pStyle w:val="BodyText"/>
      </w:pPr>
      <w:r>
        <w:rPr>
          <w:b/>
        </w:rPr>
        <w:t xml:space="preserve">Homelessness</w:t>
      </w:r>
      <w:r>
        <w:t xml:space="preserve"> </w:t>
      </w:r>
      <w:r>
        <w:t xml:space="preserve">totals ~1,600 across the LGA, with concentrations in</w:t>
      </w:r>
      <w:r>
        <w:t xml:space="preserve"> </w:t>
      </w:r>
      <w:r>
        <w:rPr>
          <w:b/>
        </w:rPr>
        <w:t xml:space="preserve">Wyong</w:t>
      </w:r>
      <w:r>
        <w:t xml:space="preserve"> </w:t>
      </w:r>
      <w:r>
        <w:t xml:space="preserve">(236),</w:t>
      </w:r>
      <w:r>
        <w:t xml:space="preserve"> </w:t>
      </w:r>
      <w:r>
        <w:rPr>
          <w:b/>
        </w:rPr>
        <w:t xml:space="preserve">The Entrance</w:t>
      </w:r>
      <w:r>
        <w:t xml:space="preserve"> </w:t>
      </w:r>
      <w:r>
        <w:t xml:space="preserve">(273), and</w:t>
      </w:r>
      <w:r>
        <w:t xml:space="preserve"> </w:t>
      </w:r>
      <w:r>
        <w:rPr>
          <w:b/>
        </w:rPr>
        <w:t xml:space="preserve">Gosford-Springfield</w:t>
      </w:r>
      <w:r>
        <w:t xml:space="preserve"> </w:t>
      </w:r>
      <w:r>
        <w:t xml:space="preserve">(160).</w:t>
      </w:r>
    </w:p>
    <w:p>
      <w:pPr>
        <w:pStyle w:val="BodyText"/>
      </w:pPr>
      <w:r>
        <w:rPr>
          <w:b/>
        </w:rPr>
        <w:t xml:space="preserve">Educational attainment</w:t>
      </w:r>
      <w:r>
        <w:t xml:space="preserve"> </w:t>
      </w:r>
      <w:r>
        <w:t xml:space="preserve">varies dramatically: Year 12 completion ranges from 22.92% (</w:t>
      </w:r>
      <w:r>
        <w:rPr>
          <w:b/>
        </w:rPr>
        <w:t xml:space="preserve">Lake Munmorah</w:t>
      </w:r>
      <w:r>
        <w:t xml:space="preserve">) to 45.48% (</w:t>
      </w:r>
      <w:r>
        <w:rPr>
          <w:b/>
        </w:rPr>
        <w:t xml:space="preserve">Terrigal-North Avoca</w:t>
      </w:r>
      <w:r>
        <w:t xml:space="preserve">). Bachelor degree holders constitute just 3.3% of</w:t>
      </w:r>
      <w:r>
        <w:t xml:space="preserve"> </w:t>
      </w:r>
      <w:r>
        <w:rPr>
          <w:b/>
        </w:rPr>
        <w:t xml:space="preserve">Blue Haven-San Remo</w:t>
      </w:r>
      <w:r>
        <w:t xml:space="preserve"> </w:t>
      </w:r>
      <w:r>
        <w:t xml:space="preserve">versus 15.02% of</w:t>
      </w:r>
      <w:r>
        <w:t xml:space="preserve"> </w:t>
      </w:r>
      <w:r>
        <w:rPr>
          <w:b/>
        </w:rPr>
        <w:t xml:space="preserve">Terrigal-North Avoca</w:t>
      </w:r>
      <w:r>
        <w:t xml:space="preserve">.</w:t>
      </w:r>
    </w:p>
    <w:p>
      <w:pPr>
        <w:pStyle w:val="Heading2"/>
      </w:pPr>
      <w:bookmarkStart w:id="26" w:name="crime-safety"/>
      <w:r>
        <w:t xml:space="preserve">5. Crime &amp; Safety</w:t>
      </w:r>
      <w:bookmarkEnd w:id="26"/>
    </w:p>
    <w:p>
      <w:pPr>
        <w:pStyle w:val="FirstParagraph"/>
      </w:pPr>
      <w:r>
        <w:rPr>
          <w:b/>
        </w:rPr>
        <w:t xml:space="preserve">Crime rates per 1,000 population</w:t>
      </w:r>
      <w:r>
        <w:t xml:space="preserve"> </w:t>
      </w:r>
      <w:r>
        <w:t xml:space="preserve">reveal significant geographic variation:</w:t>
      </w:r>
    </w:p>
    <w:p>
      <w:pPr>
        <w:pStyle w:val="BodyText"/>
      </w:pPr>
      <w:r>
        <w:rPr>
          <w:b/>
        </w:rPr>
        <w:t xml:space="preserve">Assault rates:</w:t>
      </w:r>
      <w:r>
        <w:t xml:space="preserve"> </w:t>
      </w:r>
      <w:r>
        <w:t xml:space="preserve">-</w:t>
      </w:r>
      <w:r>
        <w:t xml:space="preserve"> </w:t>
      </w:r>
      <w:r>
        <w:rPr>
          <w:b/>
        </w:rPr>
        <w:t xml:space="preserve">Wyong</w:t>
      </w:r>
      <w:r>
        <w:t xml:space="preserve">: 12.36 (highest)</w:t>
      </w:r>
      <w:r>
        <w:t xml:space="preserve"> </w:t>
      </w:r>
      <w:r>
        <w:t xml:space="preserve">-</w:t>
      </w:r>
      <w:r>
        <w:t xml:space="preserve"> </w:t>
      </w:r>
      <w:r>
        <w:rPr>
          <w:b/>
        </w:rPr>
        <w:t xml:space="preserve">Gosford-Springfield</w:t>
      </w:r>
      <w:r>
        <w:t xml:space="preserve">: 9.76</w:t>
      </w:r>
      <w:r>
        <w:t xml:space="preserve"> </w:t>
      </w:r>
      <w:r>
        <w:t xml:space="preserve">-</w:t>
      </w:r>
      <w:r>
        <w:t xml:space="preserve"> </w:t>
      </w:r>
      <w:r>
        <w:rPr>
          <w:b/>
        </w:rPr>
        <w:t xml:space="preserve">Tuggerah-Kangy Angy</w:t>
      </w:r>
      <w:r>
        <w:t xml:space="preserve">: 9.38</w:t>
      </w:r>
      <w:r>
        <w:t xml:space="preserve"> </w:t>
      </w:r>
      <w:r>
        <w:t xml:space="preserve">-</w:t>
      </w:r>
      <w:r>
        <w:t xml:space="preserve"> </w:t>
      </w:r>
      <w:r>
        <w:rPr>
          <w:b/>
        </w:rPr>
        <w:t xml:space="preserve">Lake Munmorah-Mannering Park</w:t>
      </w:r>
      <w:r>
        <w:t xml:space="preserve">: 0.09 (lowest)</w:t>
      </w:r>
      <w:r>
        <w:t xml:space="preserve"> </w:t>
      </w:r>
      <w:r>
        <w:t xml:space="preserve">-</w:t>
      </w:r>
      <w:r>
        <w:t xml:space="preserve"> </w:t>
      </w:r>
      <w:r>
        <w:rPr>
          <w:b/>
        </w:rPr>
        <w:t xml:space="preserve">Avoca Beach-Copacabana</w:t>
      </w:r>
      <w:r>
        <w:t xml:space="preserve">: 1.06</w:t>
      </w:r>
    </w:p>
    <w:p>
      <w:pPr>
        <w:pStyle w:val="BodyText"/>
      </w:pPr>
      <w:r>
        <w:rPr>
          <w:b/>
        </w:rPr>
        <w:t xml:space="preserve">Theft rates:</w:t>
      </w:r>
      <w:r>
        <w:t xml:space="preserve"> </w:t>
      </w:r>
      <w:r>
        <w:t xml:space="preserve">-</w:t>
      </w:r>
      <w:r>
        <w:t xml:space="preserve"> </w:t>
      </w:r>
      <w:r>
        <w:rPr>
          <w:b/>
        </w:rPr>
        <w:t xml:space="preserve">Tuggerah-Kangy Angy</w:t>
      </w:r>
      <w:r>
        <w:t xml:space="preserve">: 83.09 (extreme outlier — retail/commercial precinct)</w:t>
      </w:r>
      <w:r>
        <w:t xml:space="preserve"> </w:t>
      </w:r>
      <w:r>
        <w:t xml:space="preserve">-</w:t>
      </w:r>
      <w:r>
        <w:t xml:space="preserve"> </w:t>
      </w:r>
      <w:r>
        <w:rPr>
          <w:b/>
        </w:rPr>
        <w:t xml:space="preserve">Wyong</w:t>
      </w:r>
      <w:r>
        <w:t xml:space="preserve">: 42.12</w:t>
      </w:r>
      <w:r>
        <w:t xml:space="preserve"> </w:t>
      </w:r>
      <w:r>
        <w:t xml:space="preserve">-</w:t>
      </w:r>
      <w:r>
        <w:t xml:space="preserve"> </w:t>
      </w:r>
      <w:r>
        <w:rPr>
          <w:b/>
        </w:rPr>
        <w:t xml:space="preserve">Gosford-Springfield</w:t>
      </w:r>
      <w:r>
        <w:t xml:space="preserve">: 39.66</w:t>
      </w:r>
      <w:r>
        <w:t xml:space="preserve"> </w:t>
      </w:r>
      <w:r>
        <w:t xml:space="preserve">-</w:t>
      </w:r>
      <w:r>
        <w:t xml:space="preserve"> </w:t>
      </w:r>
      <w:r>
        <w:rPr>
          <w:b/>
        </w:rPr>
        <w:t xml:space="preserve">Ourimbah-Fountaindale</w:t>
      </w:r>
      <w:r>
        <w:t xml:space="preserve">: 33.50</w:t>
      </w:r>
    </w:p>
    <w:p>
      <w:pPr>
        <w:pStyle w:val="BodyText"/>
      </w:pPr>
      <w:r>
        <w:rPr>
          <w:b/>
        </w:rPr>
        <w:t xml:space="preserve">Drug offences:</w:t>
      </w:r>
      <w:r>
        <w:t xml:space="preserve"> </w:t>
      </w:r>
      <w:r>
        <w:t xml:space="preserve">-</w:t>
      </w:r>
      <w:r>
        <w:t xml:space="preserve"> </w:t>
      </w:r>
      <w:r>
        <w:rPr>
          <w:b/>
        </w:rPr>
        <w:t xml:space="preserve">Wyong</w:t>
      </w:r>
      <w:r>
        <w:t xml:space="preserve">: 16.41</w:t>
      </w:r>
      <w:r>
        <w:t xml:space="preserve"> </w:t>
      </w:r>
      <w:r>
        <w:t xml:space="preserve">-</w:t>
      </w:r>
      <w:r>
        <w:t xml:space="preserve"> </w:t>
      </w:r>
      <w:r>
        <w:rPr>
          <w:b/>
        </w:rPr>
        <w:t xml:space="preserve">Gosford-Springfield</w:t>
      </w:r>
      <w:r>
        <w:t xml:space="preserve">: 12.87</w:t>
      </w:r>
      <w:r>
        <w:t xml:space="preserve"> </w:t>
      </w:r>
      <w:r>
        <w:t xml:space="preserve">-</w:t>
      </w:r>
      <w:r>
        <w:t xml:space="preserve"> </w:t>
      </w:r>
      <w:r>
        <w:rPr>
          <w:b/>
        </w:rPr>
        <w:t xml:space="preserve">Tuggerah-Kangy Angy</w:t>
      </w:r>
      <w:r>
        <w:t xml:space="preserve">: 6.32</w:t>
      </w:r>
      <w:r>
        <w:t xml:space="preserve"> </w:t>
      </w:r>
      <w:r>
        <w:t xml:space="preserve">- Most coastal areas: &lt;2.0</w:t>
      </w:r>
    </w:p>
    <w:p>
      <w:pPr>
        <w:pStyle w:val="BodyText"/>
      </w:pPr>
      <w:r>
        <w:rPr>
          <w:b/>
        </w:rPr>
        <w:t xml:space="preserve">Malicious damage</w:t>
      </w:r>
      <w:r>
        <w:t xml:space="preserve"> </w:t>
      </w:r>
      <w:r>
        <w:t xml:space="preserve">and</w:t>
      </w:r>
      <w:r>
        <w:t xml:space="preserve"> </w:t>
      </w:r>
      <w:r>
        <w:rPr>
          <w:b/>
        </w:rPr>
        <w:t xml:space="preserve">intimidation</w:t>
      </w:r>
      <w:r>
        <w:t xml:space="preserve"> </w:t>
      </w:r>
      <w:r>
        <w:t xml:space="preserve">follow similar patterns, concentrating in commercial centers and disadvantaged townships. Data for</w:t>
      </w:r>
      <w:r>
        <w:t xml:space="preserve"> </w:t>
      </w:r>
      <w:r>
        <w:rPr>
          <w:b/>
        </w:rPr>
        <w:t xml:space="preserve">Lake Munmorah-Mannering Park</w:t>
      </w:r>
      <w:r>
        <w:t xml:space="preserve"> </w:t>
      </w:r>
      <w:r>
        <w:t xml:space="preserve">appears sparse (0.09-0.46 rates across categories), suggesting underreporting or low population density effects.</w:t>
      </w:r>
    </w:p>
    <w:p>
      <w:pPr>
        <w:pStyle w:val="BodyText"/>
      </w:pPr>
      <w:r>
        <w:t xml:space="preserve">Notably, affluent coastal SA2s (</w:t>
      </w:r>
      <w:r>
        <w:rPr>
          <w:b/>
        </w:rPr>
        <w:t xml:space="preserve">Avoca Beach, Wamberal, Terrigal, Box Head</w:t>
      </w:r>
      <w:r>
        <w:t xml:space="preserve">) maintain assault rates below 1.0-5.0 per 1,000, while struggling inland areas exceed 10.0.</w:t>
      </w:r>
    </w:p>
    <w:p>
      <w:pPr>
        <w:pStyle w:val="Heading2"/>
      </w:pPr>
      <w:bookmarkStart w:id="27" w:name="tourism-visitor-economy"/>
      <w:r>
        <w:t xml:space="preserve">6. Tourism &amp; Visitor Economy</w:t>
      </w:r>
      <w:bookmarkEnd w:id="27"/>
    </w:p>
    <w:p>
      <w:pPr>
        <w:pStyle w:val="FirstParagraph"/>
      </w:pPr>
      <w:r>
        <w:rPr>
          <w:b/>
        </w:rPr>
        <w:t xml:space="preserve">Airbnb and visitor spending data</w:t>
      </w:r>
      <w:r>
        <w:t xml:space="preserve"> </w:t>
      </w:r>
      <w:r>
        <w:t xml:space="preserve">is limited, but total spend figures indicate tourism concentration:</w:t>
      </w:r>
      <w:r>
        <w:t xml:space="preserve"> </w:t>
      </w:r>
      <w:r>
        <w:t xml:space="preserve">-</w:t>
      </w:r>
      <w:r>
        <w:t xml:space="preserve"> </w:t>
      </w:r>
      <w:r>
        <w:rPr>
          <w:b/>
        </w:rPr>
        <w:t xml:space="preserve">Erina-Green Point</w:t>
      </w:r>
      <w:r>
        <w:t xml:space="preserve">: $68.96M (retail hub)</w:t>
      </w:r>
      <w:r>
        <w:t xml:space="preserve"> </w:t>
      </w:r>
      <w:r>
        <w:t xml:space="preserve">-</w:t>
      </w:r>
      <w:r>
        <w:t xml:space="preserve"> </w:t>
      </w:r>
      <w:r>
        <w:rPr>
          <w:b/>
        </w:rPr>
        <w:t xml:space="preserve">Tuggerah-Kangy Angy</w:t>
      </w:r>
      <w:r>
        <w:t xml:space="preserve">: $47.61M (commercial center)</w:t>
      </w:r>
      <w:r>
        <w:t xml:space="preserve"> </w:t>
      </w:r>
      <w:r>
        <w:t xml:space="preserve">-</w:t>
      </w:r>
      <w:r>
        <w:t xml:space="preserve"> </w:t>
      </w:r>
      <w:r>
        <w:rPr>
          <w:b/>
        </w:rPr>
        <w:t xml:space="preserve">Gosford-Springfield</w:t>
      </w:r>
      <w:r>
        <w:t xml:space="preserve">: $46.51M</w:t>
      </w:r>
      <w:r>
        <w:t xml:space="preserve"> </w:t>
      </w:r>
      <w:r>
        <w:t xml:space="preserve">-</w:t>
      </w:r>
      <w:r>
        <w:t xml:space="preserve"> </w:t>
      </w:r>
      <w:r>
        <w:rPr>
          <w:b/>
        </w:rPr>
        <w:t xml:space="preserve">Gorokan-Kanwal-Charmhaven</w:t>
      </w:r>
      <w:r>
        <w:t xml:space="preserve">: $28.76M</w:t>
      </w:r>
    </w:p>
    <w:p>
      <w:pPr>
        <w:pStyle w:val="BodyText"/>
      </w:pPr>
      <w:r>
        <w:t xml:space="preserve">Tourism businesses cluster in coastal destinations:</w:t>
      </w:r>
      <w:r>
        <w:t xml:space="preserve"> </w:t>
      </w:r>
      <w:r>
        <w:rPr>
          <w:b/>
        </w:rPr>
        <w:t xml:space="preserve">The Entrance</w:t>
      </w:r>
      <w:r>
        <w:t xml:space="preserve"> </w:t>
      </w:r>
      <w:r>
        <w:t xml:space="preserve">(94 businesses),</w:t>
      </w:r>
      <w:r>
        <w:t xml:space="preserve"> </w:t>
      </w:r>
      <w:r>
        <w:rPr>
          <w:b/>
        </w:rPr>
        <w:t xml:space="preserve">Terrigal-North Avoca</w:t>
      </w:r>
      <w:r>
        <w:t xml:space="preserve"> </w:t>
      </w:r>
      <w:r>
        <w:t xml:space="preserve">(93),</w:t>
      </w:r>
      <w:r>
        <w:t xml:space="preserve"> </w:t>
      </w:r>
      <w:r>
        <w:rPr>
          <w:b/>
        </w:rPr>
        <w:t xml:space="preserve">Umina-Booker Bay-Patonga</w:t>
      </w:r>
      <w:r>
        <w:t xml:space="preserve"> </w:t>
      </w:r>
      <w:r>
        <w:t xml:space="preserve">(74),</w:t>
      </w:r>
      <w:r>
        <w:t xml:space="preserve"> </w:t>
      </w:r>
      <w:r>
        <w:rPr>
          <w:b/>
        </w:rPr>
        <w:t xml:space="preserve">Gosford-Springfield</w:t>
      </w:r>
      <w:r>
        <w:t xml:space="preserve"> </w:t>
      </w:r>
      <w:r>
        <w:t xml:space="preserve">(120 — likely accommodation/hospitality serving regional visitors).</w:t>
      </w:r>
    </w:p>
    <w:p>
      <w:pPr>
        <w:pStyle w:val="BodyText"/>
      </w:pPr>
      <w:r>
        <w:t xml:space="preserve">Rural areas show modest tourism infrastructure:</w:t>
      </w:r>
      <w:r>
        <w:t xml:space="preserve"> </w:t>
      </w:r>
      <w:r>
        <w:rPr>
          <w:b/>
        </w:rPr>
        <w:t xml:space="preserve">Jilliby-Yarramalong</w:t>
      </w:r>
      <w:r>
        <w:t xml:space="preserve"> </w:t>
      </w:r>
      <w:r>
        <w:t xml:space="preserve">(9),</w:t>
      </w:r>
      <w:r>
        <w:t xml:space="preserve"> </w:t>
      </w:r>
      <w:r>
        <w:rPr>
          <w:b/>
        </w:rPr>
        <w:t xml:space="preserve">Calga-Kulnura</w:t>
      </w:r>
      <w:r>
        <w:t xml:space="preserve"> </w:t>
      </w:r>
      <w:r>
        <w:t xml:space="preserve">(35), despite scenic appeal, suggesting underdeveloped visitor economy in hinterland.</w:t>
      </w:r>
    </w:p>
    <w:p>
      <w:pPr>
        <w:pStyle w:val="Heading2"/>
      </w:pPr>
      <w:bookmarkStart w:id="28" w:name="regional-divide-gosford-vs-wyong"/>
      <w:r>
        <w:t xml:space="preserve">7. Regional Divide: Gosford vs Wyong</w:t>
      </w:r>
      <w:bookmarkEnd w:id="28"/>
    </w:p>
    <w:p>
      <w:pPr>
        <w:pStyle w:val="FirstParagraph"/>
      </w:pPr>
      <w:r>
        <w:t xml:space="preserve">The Central Coast’s two SA3 sub-regions exhibit stark contrasts:</w:t>
      </w:r>
    </w:p>
    <w:tbl>
      <w:tblPr>
        <w:tblStyle w:val="Table"/>
        <w:tblW w:type="pct" w:w="0.0"/>
        <w:tblLook w:firstRow="1"/>
      </w:tblPr>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Gosford SA3</w:t>
            </w:r>
          </w:p>
        </w:tc>
        <w:tc>
          <w:tcPr>
            <w:tcBorders>
              <w:bottom w:val="single"/>
            </w:tcBorders>
            <w:vAlign w:val="bottom"/>
          </w:tcPr>
          <w:p>
            <w:pPr>
              <w:pStyle w:val="Compact"/>
              <w:jc w:val="left"/>
            </w:pPr>
            <w:r>
              <w:t xml:space="preserve">Wyong SA3</w:t>
            </w:r>
          </w:p>
        </w:tc>
      </w:tr>
      <w:tr>
        <w:tc>
          <w:p>
            <w:pPr>
              <w:pStyle w:val="Compact"/>
              <w:jc w:val="left"/>
            </w:pPr>
            <w:r>
              <w:rPr>
                <w:b/>
              </w:rPr>
              <w:t xml:space="preserve">Median income (typical SA2)</w:t>
            </w:r>
          </w:p>
        </w:tc>
        <w:tc>
          <w:p>
            <w:pPr>
              <w:pStyle w:val="Compact"/>
              <w:jc w:val="left"/>
            </w:pPr>
            <w:r>
              <w:t xml:space="preserve">$1,200-1,800</w:t>
            </w:r>
          </w:p>
        </w:tc>
        <w:tc>
          <w:p>
            <w:pPr>
              <w:pStyle w:val="Compact"/>
              <w:jc w:val="left"/>
            </w:pPr>
            <w:r>
              <w:t xml:space="preserve">$1,000-1,200</w:t>
            </w:r>
          </w:p>
        </w:tc>
      </w:tr>
      <w:tr>
        <w:tc>
          <w:p>
            <w:pPr>
              <w:pStyle w:val="Compact"/>
              <w:jc w:val="left"/>
            </w:pPr>
            <w:r>
              <w:rPr>
                <w:b/>
              </w:rPr>
              <w:t xml:space="preserve">Unemployment (range)</w:t>
            </w:r>
          </w:p>
        </w:tc>
        <w:tc>
          <w:p>
            <w:pPr>
              <w:pStyle w:val="Compact"/>
              <w:jc w:val="left"/>
            </w:pPr>
            <w:r>
              <w:t xml:space="preserve">1.2-5.3%</w:t>
            </w:r>
          </w:p>
        </w:tc>
        <w:tc>
          <w:p>
            <w:pPr>
              <w:pStyle w:val="Compact"/>
              <w:jc w:val="left"/>
            </w:pPr>
            <w:r>
              <w:t xml:space="preserve">3.1-8.9%</w:t>
            </w:r>
          </w:p>
        </w:tc>
      </w:tr>
      <w:tr>
        <w:tc>
          <w:p>
            <w:pPr>
              <w:pStyle w:val="Compact"/>
              <w:jc w:val="left"/>
            </w:pPr>
            <w:r>
              <w:rPr>
                <w:b/>
              </w:rPr>
              <w:t xml:space="preserve">SEIFA Education Index</w:t>
            </w:r>
          </w:p>
        </w:tc>
        <w:tc>
          <w:p>
            <w:pPr>
              <w:pStyle w:val="Compact"/>
              <w:jc w:val="left"/>
            </w:pPr>
            <w:r>
              <w:t xml:space="preserve">950-1,084</w:t>
            </w:r>
          </w:p>
        </w:tc>
        <w:tc>
          <w:p>
            <w:pPr>
              <w:pStyle w:val="Compact"/>
              <w:jc w:val="left"/>
            </w:pPr>
            <w:r>
              <w:t xml:space="preserve">855-977</w:t>
            </w:r>
          </w:p>
        </w:tc>
      </w:tr>
      <w:tr>
        <w:tc>
          <w:p>
            <w:pPr>
              <w:pStyle w:val="Compact"/>
              <w:jc w:val="left"/>
            </w:pPr>
            <w:r>
              <w:rPr>
                <w:b/>
              </w:rPr>
              <w:t xml:space="preserve">House prices</w:t>
            </w:r>
          </w:p>
        </w:tc>
        <w:tc>
          <w:p>
            <w:pPr>
              <w:pStyle w:val="Compact"/>
              <w:jc w:val="left"/>
            </w:pPr>
            <w:r>
              <w:t xml:space="preserve">$1.1M-1.95M (coastal)</w:t>
            </w:r>
          </w:p>
        </w:tc>
        <w:tc>
          <w:p>
            <w:pPr>
              <w:pStyle w:val="Compact"/>
              <w:jc w:val="left"/>
            </w:pPr>
            <w:r>
              <w:t xml:space="preserve">$820K-1.1M</w:t>
            </w:r>
          </w:p>
        </w:tc>
      </w:tr>
      <w:tr>
        <w:tc>
          <w:p>
            <w:pPr>
              <w:pStyle w:val="Compact"/>
              <w:jc w:val="left"/>
            </w:pPr>
            <w:r>
              <w:rPr>
                <w:b/>
              </w:rPr>
              <w:t xml:space="preserve">Year 12 completion</w:t>
            </w:r>
          </w:p>
        </w:tc>
        <w:tc>
          <w:p>
            <w:pPr>
              <w:pStyle w:val="Compact"/>
              <w:jc w:val="left"/>
            </w:pPr>
            <w:r>
              <w:t xml:space="preserve">31-45%</w:t>
            </w:r>
          </w:p>
        </w:tc>
        <w:tc>
          <w:p>
            <w:pPr>
              <w:pStyle w:val="Compact"/>
              <w:jc w:val="left"/>
            </w:pPr>
            <w:r>
              <w:t xml:space="preserve">23-35%</w:t>
            </w:r>
          </w:p>
        </w:tc>
      </w:tr>
      <w:tr>
        <w:tc>
          <w:p>
            <w:pPr>
              <w:pStyle w:val="Compact"/>
              <w:jc w:val="left"/>
            </w:pPr>
            <w:r>
              <w:rPr>
                <w:b/>
              </w:rPr>
              <w:t xml:space="preserve">Indigenous population</w:t>
            </w:r>
          </w:p>
        </w:tc>
        <w:tc>
          <w:p>
            <w:pPr>
              <w:pStyle w:val="Compact"/>
              <w:jc w:val="left"/>
            </w:pPr>
            <w:r>
              <w:t xml:space="preserve">1.6-4.6%</w:t>
            </w:r>
          </w:p>
        </w:tc>
        <w:tc>
          <w:p>
            <w:pPr>
              <w:pStyle w:val="Compact"/>
              <w:jc w:val="left"/>
            </w:pPr>
            <w:r>
              <w:t xml:space="preserve">4.0-7.8%</w:t>
            </w:r>
          </w:p>
        </w:tc>
      </w:tr>
    </w:tbl>
    <w:p>
      <w:pPr>
        <w:pStyle w:val="BodyText"/>
      </w:pPr>
      <w:r>
        <w:rPr>
          <w:b/>
        </w:rPr>
        <w:t xml:space="preserve">Gosford</w:t>
      </w:r>
      <w:r>
        <w:t xml:space="preserve"> </w:t>
      </w:r>
      <w:r>
        <w:t xml:space="preserve">benefits from Sydney proximity (premium areas like</w:t>
      </w:r>
      <w:r>
        <w:t xml:space="preserve"> </w:t>
      </w:r>
      <w:r>
        <w:rPr>
          <w:b/>
        </w:rPr>
        <w:t xml:space="preserve">Avoca Beach, Terrigal, Wamberal</w:t>
      </w:r>
      <w:r>
        <w:t xml:space="preserve">), established commercial centers (</w:t>
      </w:r>
      <w:r>
        <w:rPr>
          <w:b/>
        </w:rPr>
        <w:t xml:space="preserve">Erina, Gosford-Springfield</w:t>
      </w:r>
      <w:r>
        <w:t xml:space="preserve">), and older, wealthier retirees.</w:t>
      </w:r>
      <w:r>
        <w:t xml:space="preserve"> </w:t>
      </w:r>
      <w:r>
        <w:rPr>
          <w:b/>
        </w:rPr>
        <w:t xml:space="preserve">Wyong</w:t>
      </w:r>
      <w:r>
        <w:t xml:space="preserve"> </w:t>
      </w:r>
      <w:r>
        <w:t xml:space="preserve">struggles with lower education, higher welfare dependency, entrenched unemployment, and younger, more disadvantaged populations.</w:t>
      </w:r>
    </w:p>
    <w:p>
      <w:pPr>
        <w:pStyle w:val="BodyText"/>
      </w:pPr>
      <w:r>
        <w:t xml:space="preserve">Development activity suggests convergence attempts:</w:t>
      </w:r>
      <w:r>
        <w:t xml:space="preserve"> </w:t>
      </w:r>
      <w:r>
        <w:rPr>
          <w:b/>
        </w:rPr>
        <w:t xml:space="preserve">Warnervale-Wadalba</w:t>
      </w:r>
      <w:r>
        <w:t xml:space="preserve"> </w:t>
      </w:r>
      <w:r>
        <w:t xml:space="preserve">(Wyong SA3) shows growth corridor investment (250 dwellings approved, $1,678 median income), but most Wyong SA2s lag significantly.</w:t>
      </w:r>
    </w:p>
    <w:p>
      <w:pPr>
        <w:pStyle w:val="Heading2"/>
      </w:pPr>
      <w:bookmarkStart w:id="29" w:name="key-challenges-opportunities"/>
      <w:r>
        <w:t xml:space="preserve">8. Key Challenges &amp; Opportunities</w:t>
      </w:r>
      <w:bookmarkEnd w:id="29"/>
    </w:p>
    <w:p>
      <w:pPr>
        <w:pStyle w:val="FirstParagraph"/>
      </w:pPr>
      <w:r>
        <w:rPr>
          <w:b/>
        </w:rPr>
        <w:t xml:space="preserve">Challenges:</w:t>
      </w:r>
      <w:r>
        <w:t xml:space="preserve"> </w:t>
      </w:r>
      <w:r>
        <w:t xml:space="preserve">-</w:t>
      </w:r>
      <w:r>
        <w:t xml:space="preserve"> </w:t>
      </w:r>
      <w:r>
        <w:rPr>
          <w:b/>
        </w:rPr>
        <w:t xml:space="preserve">Income and wealth inequality</w:t>
      </w:r>
      <w:r>
        <w:t xml:space="preserve">: 84% gap between highest and lowest median incomes creates two-tier society</w:t>
      </w:r>
      <w:r>
        <w:t xml:space="preserve"> </w:t>
      </w:r>
      <w:r>
        <w:t xml:space="preserve">-</w:t>
      </w:r>
      <w:r>
        <w:t xml:space="preserve"> </w:t>
      </w:r>
      <w:r>
        <w:rPr>
          <w:b/>
        </w:rPr>
        <w:t xml:space="preserve">Entrenched disadvantage</w:t>
      </w:r>
      <w:r>
        <w:t xml:space="preserve">:</w:t>
      </w:r>
      <w:r>
        <w:t xml:space="preserve"> </w:t>
      </w:r>
      <w:r>
        <w:rPr>
          <w:b/>
        </w:rPr>
        <w:t xml:space="preserve">Wyong, Gorokan, Blue Haven</w:t>
      </w:r>
      <w:r>
        <w:t xml:space="preserve"> </w:t>
      </w:r>
      <w:r>
        <w:t xml:space="preserve">trapped in low-education, high-welfare cycles with 6-9% unemployment</w:t>
      </w:r>
      <w:r>
        <w:t xml:space="preserve"> </w:t>
      </w:r>
      <w:r>
        <w:t xml:space="preserve">-</w:t>
      </w:r>
      <w:r>
        <w:t xml:space="preserve"> </w:t>
      </w:r>
      <w:r>
        <w:rPr>
          <w:b/>
        </w:rPr>
        <w:t xml:space="preserve">Housing affordability collapse</w:t>
      </w:r>
      <w:r>
        <w:t xml:space="preserve">: Even modest suburbs show price-to-income ratios of 80-90 weeks, locking out first-home buyers</w:t>
      </w:r>
      <w:r>
        <w:t xml:space="preserve"> </w:t>
      </w:r>
      <w:r>
        <w:t xml:space="preserve">-</w:t>
      </w:r>
      <w:r>
        <w:t xml:space="preserve"> </w:t>
      </w:r>
      <w:r>
        <w:rPr>
          <w:b/>
        </w:rPr>
        <w:t xml:space="preserve">Aging demographics</w:t>
      </w:r>
      <w:r>
        <w:t xml:space="preserve">: Over-69 population exceeding 20% in multiple SA2s strains healthcare/services; natural decrease evident in 10+ areas</w:t>
      </w:r>
      <w:r>
        <w:t xml:space="preserve"> </w:t>
      </w:r>
      <w:r>
        <w:t xml:space="preserve">-</w:t>
      </w:r>
      <w:r>
        <w:t xml:space="preserve"> </w:t>
      </w:r>
      <w:r>
        <w:rPr>
          <w:b/>
        </w:rPr>
        <w:t xml:space="preserve">Crime concentration</w:t>
      </w:r>
      <w:r>
        <w:t xml:space="preserve">: Commercial centers and disadvantaged townships experience assault/theft rates 10-80x higher than affluent coastal zones</w:t>
      </w:r>
    </w:p>
    <w:p>
      <w:pPr>
        <w:pStyle w:val="BodyText"/>
      </w:pPr>
      <w:r>
        <w:rPr>
          <w:b/>
        </w:rPr>
        <w:t xml:space="preserve">Opportunities:</w:t>
      </w:r>
      <w:r>
        <w:t xml:space="preserve"> </w:t>
      </w:r>
      <w:r>
        <w:t xml:space="preserve">-</w:t>
      </w:r>
      <w:r>
        <w:t xml:space="preserve"> </w:t>
      </w:r>
      <w:r>
        <w:rPr>
          <w:b/>
        </w:rPr>
        <w:t xml:space="preserve">Growth corridor expansion</w:t>
      </w:r>
      <w:r>
        <w:t xml:space="preserve">:</w:t>
      </w:r>
      <w:r>
        <w:t xml:space="preserve"> </w:t>
      </w:r>
      <w:r>
        <w:rPr>
          <w:b/>
        </w:rPr>
        <w:t xml:space="preserve">Warnervale-Wadalba</w:t>
      </w:r>
      <w:r>
        <w:t xml:space="preserve"> </w:t>
      </w:r>
      <w:r>
        <w:t xml:space="preserve">demonstrates successful master-planned community model (650 population growth, 250 dwellings approved)</w:t>
      </w:r>
      <w:r>
        <w:t xml:space="preserve"> </w:t>
      </w:r>
      <w:r>
        <w:t xml:space="preserve">-</w:t>
      </w:r>
      <w:r>
        <w:t xml:space="preserve"> </w:t>
      </w:r>
      <w:r>
        <w:rPr>
          <w:b/>
        </w:rPr>
        <w:t xml:space="preserve">Tourism diversification</w:t>
      </w:r>
      <w:r>
        <w:t xml:space="preserve">: Underdeveloped hinterland (</w:t>
      </w:r>
      <w:r>
        <w:rPr>
          <w:b/>
        </w:rPr>
        <w:t xml:space="preserve">Jilliby, Calga</w:t>
      </w:r>
      <w:r>
        <w:t xml:space="preserve">) and emerging coastal areas could leverage natural assets</w:t>
      </w:r>
      <w:r>
        <w:t xml:space="preserve"> </w:t>
      </w:r>
      <w:r>
        <w:t xml:space="preserve">-</w:t>
      </w:r>
      <w:r>
        <w:t xml:space="preserve"> </w:t>
      </w:r>
      <w:r>
        <w:rPr>
          <w:b/>
        </w:rPr>
        <w:t xml:space="preserve">Infrastructure investment</w:t>
      </w:r>
      <w:r>
        <w:t xml:space="preserve">: $400M+ in approved building works signals private sector confidence; coordinated public transport/amenity upgrades could unlock disadvantaged areas</w:t>
      </w:r>
      <w:r>
        <w:t xml:space="preserve"> </w:t>
      </w:r>
      <w:r>
        <w:t xml:space="preserve">-</w:t>
      </w:r>
      <w:r>
        <w:t xml:space="preserve"> </w:t>
      </w:r>
      <w:r>
        <w:rPr>
          <w:b/>
        </w:rPr>
        <w:t xml:space="preserve">Healthcare/aged care sector</w:t>
      </w:r>
      <w:r>
        <w:t xml:space="preserve">: 2,500+ healthcare businesses already established; aging demographics create employment/service delivery expansion potential</w:t>
      </w:r>
      <w:r>
        <w:t xml:space="preserve"> </w:t>
      </w:r>
      <w:r>
        <w:t xml:space="preserve">-</w:t>
      </w:r>
      <w:r>
        <w:t xml:space="preserve"> </w:t>
      </w:r>
      <w:r>
        <w:rPr>
          <w:b/>
        </w:rPr>
        <w:t xml:space="preserve">Educational attainment programs</w:t>
      </w:r>
      <w:r>
        <w:t xml:space="preserve">: Targeted Year 12 completion and vocational training in</w:t>
      </w:r>
      <w:r>
        <w:t xml:space="preserve"> </w:t>
      </w:r>
      <w:r>
        <w:rPr>
          <w:b/>
        </w:rPr>
        <w:t xml:space="preserve">Wyong, Gorokan, Budgewoi</w:t>
      </w:r>
      <w:r>
        <w:t xml:space="preserve"> </w:t>
      </w:r>
      <w:r>
        <w:t xml:space="preserve">could break welfare cycles</w:t>
      </w:r>
    </w:p>
    <w:p>
      <w:pPr>
        <w:pStyle w:val="Heading2"/>
      </w:pPr>
      <w:bookmarkStart w:id="30" w:name="data-notes"/>
      <w:r>
        <w:t xml:space="preserve">Data Notes</w:t>
      </w:r>
      <w:bookmarkEnd w:id="30"/>
    </w:p>
    <w:p>
      <w:pPr>
        <w:pStyle w:val="FirstParagraph"/>
      </w:pPr>
      <w:r>
        <w:rPr>
          <w:b/>
        </w:rPr>
        <w:t xml:space="preserve">Coverage</w:t>
      </w:r>
      <w:r>
        <w:t xml:space="preserve">: 30 SA2 statistical areas within Central Coast LGA (NSW), spanning Gosford and Wyong SA3 regions.</w:t>
      </w:r>
    </w:p>
    <w:p>
      <w:pPr>
        <w:pStyle w:val="BodyText"/>
      </w:pPr>
      <w:r>
        <w:rPr>
          <w:b/>
        </w:rPr>
        <w:t xml:space="preserve">Period</w:t>
      </w:r>
      <w:r>
        <w:t xml:space="preserve">: Indicators reported for July 2026; population change reflects 2023-24 financial year; crime rates represent annualized per 1,000 calculations.</w:t>
      </w:r>
    </w:p>
    <w:p>
      <w:pPr>
        <w:pStyle w:val="BodyText"/>
      </w:pPr>
      <w:r>
        <w:rPr>
          <w:b/>
        </w:rPr>
        <w:t xml:space="preserve">Sources</w:t>
      </w:r>
      <w:r>
        <w:t xml:space="preserve">: Dataset integrates ABS demographic/migration data, Centrelink payment statistics, NSW Bureau of Crime Statistics and Research (BOCSAR) offence rates, real estate listing analytics, building approvals, SEIFA 2021 indices, business counts by industry, and labour force survey estimates.</w:t>
      </w:r>
    </w:p>
    <w:p>
      <w:pPr>
        <w:pStyle w:val="BodyText"/>
      </w:pPr>
      <w:r>
        <w:rPr>
          <w:b/>
        </w:rPr>
        <w:t xml:space="preserve">Limitations</w:t>
      </w:r>
      <w:r>
        <w:t xml:space="preserve">: Some SA2s show sparse crime data (e.g., Lake Munmorah). Airbnb/tourism metrics incomplete. House/unit prices represent medians and may not reflect full market segments. Total population calculated from SA2 aggregation (~332,000) based on provided data.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2026-08-14T07:40:11Z</dcterms:created>
  <dcterms:modified xsi:type="dcterms:W3CDTF">2026-08-14T07:40:11Z</dcterms:modified>
</cp:coreProperties>
</file>

<file path=docProps/custom.xml><?xml version="1.0" encoding="utf-8"?>
<Properties xmlns="http://schemas.openxmlformats.org/officeDocument/2006/custom-properties" xmlns:vt="http://schemas.openxmlformats.org/officeDocument/2006/docPropsVTypes"/>
</file>