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ntral-coast-sa2-intelligence-report"/>
      <w:r>
        <w:t xml:space="preserve">Central Coast SA2 Intelligence Report</w:t>
      </w:r>
      <w:bookmarkEnd w:id="20"/>
    </w:p>
    <w:p>
      <w:pPr>
        <w:pStyle w:val="FirstParagraph"/>
      </w:pPr>
      <w:r>
        <w:rPr>
          <w:b/>
        </w:rPr>
        <w:t xml:space="preserve">Prepared: August 2026 | Indicators: May 2026 | Data Coverage: 30 SA2 areas, Central Coast LGA (NSW)</w: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The Central Coast LGA displays a stark regional divide between the more affluent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SA3 region and the socioeconomically challenged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SA3 region. The region hosts</w:t>
      </w:r>
      <w:r>
        <w:t xml:space="preserve"> </w:t>
      </w:r>
      <w:r>
        <w:rPr>
          <w:b/>
        </w:rPr>
        <w:t xml:space="preserve">385,806 residents</w:t>
      </w:r>
      <w:r>
        <w:t xml:space="preserve"> </w:t>
      </w:r>
      <w:r>
        <w:t xml:space="preserve">across 30 Statistical Area Level 2 (SA2) localities, with mixed population dynamics including strong growth in family-oriented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(+650 persons) and decline in aging coastal suburbs. Housing affordability pressures are acute, particularly in premium coastal areas where median house prices exceed</w:t>
      </w:r>
      <w:r>
        <w:t xml:space="preserve"> </w:t>
      </w:r>
      <w:r>
        <w:rPr>
          <w:b/>
        </w:rPr>
        <w:t xml:space="preserve">$1.7 million</w:t>
      </w:r>
      <w:r>
        <w:t xml:space="preserve"> </w:t>
      </w:r>
      <w:r>
        <w:t xml:space="preserve">(</w:t>
      </w:r>
      <w:r>
        <w:rPr>
          <w:b/>
        </w:rPr>
        <w:t xml:space="preserve">Wamberal-Forresters Beach</w:t>
      </w:r>
      <w:r>
        <w:t xml:space="preserve">,</w:t>
      </w:r>
      <w:r>
        <w:t xml:space="preserve"> </w:t>
      </w:r>
      <w:r>
        <w:rPr>
          <w:b/>
        </w:rPr>
        <w:t xml:space="preserve">Avoca Beach-Copacabana</w:t>
      </w:r>
      <w:r>
        <w:t xml:space="preserve">), contrasting sharply with sub-$900,000 medians in disadvantaged western suburbs.</w:t>
      </w:r>
    </w:p>
    <w:p>
      <w:pPr>
        <w:pStyle w:val="BodyText"/>
      </w:pPr>
      <w:r>
        <w:rPr>
          <w:b/>
        </w:rPr>
        <w:t xml:space="preserve">Key Headline Findings: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Wyong</w:t>
      </w:r>
      <w:r>
        <w:t xml:space="preserve"> </w:t>
      </w:r>
      <w:r>
        <w:t xml:space="preserve">has nearly</w:t>
      </w:r>
      <w:r>
        <w:t xml:space="preserve"> </w:t>
      </w:r>
      <w:r>
        <w:rPr>
          <w:b/>
        </w:rPr>
        <w:t xml:space="preserve">double the unemployment rate</w:t>
      </w:r>
      <w:r>
        <w:t xml:space="preserve"> </w:t>
      </w:r>
      <w:r>
        <w:t xml:space="preserve">of</w:t>
      </w:r>
      <w:r>
        <w:t xml:space="preserve"> </w:t>
      </w:r>
      <w:r>
        <w:rPr>
          <w:b/>
        </w:rPr>
        <w:t xml:space="preserve">Gosford</w:t>
      </w:r>
      <w:r>
        <w:t xml:space="preserve"> </w:t>
      </w:r>
      <w:r>
        <w:t xml:space="preserve">(4.5% vs 2.4% average), with crime and welfare dependency significantly elevated</w:t>
      </w:r>
    </w:p>
    <w:p>
      <w:pPr>
        <w:numPr>
          <w:ilvl w:val="0"/>
          <w:numId w:val="1001"/>
        </w:numPr>
        <w:pStyle w:val="Compact"/>
      </w:pPr>
      <w:r>
        <w:t xml:space="preserve">Coastal premium areas (</w:t>
      </w:r>
      <w:r>
        <w:rPr>
          <w:b/>
        </w:rPr>
        <w:t xml:space="preserve">Terrigal-North Avoca</w:t>
      </w:r>
      <w:r>
        <w:t xml:space="preserve">,</w:t>
      </w:r>
      <w:r>
        <w:t xml:space="preserve"> </w:t>
      </w:r>
      <w:r>
        <w:rPr>
          <w:b/>
        </w:rPr>
        <w:t xml:space="preserve">Avoca Beach-Copacabana</w:t>
      </w:r>
      <w:r>
        <w:t xml:space="preserve">,</w:t>
      </w:r>
      <w:r>
        <w:t xml:space="preserve"> </w:t>
      </w:r>
      <w:r>
        <w:rPr>
          <w:b/>
        </w:rPr>
        <w:t xml:space="preserve">Wamberal-Forresters Beach</w:t>
      </w:r>
      <w:r>
        <w:t xml:space="preserve">) command house prices</w:t>
      </w:r>
      <w:r>
        <w:t xml:space="preserve"> </w:t>
      </w:r>
      <w:r>
        <w:rPr>
          <w:b/>
        </w:rPr>
        <w:t xml:space="preserve">60-80% above</w:t>
      </w:r>
      <w:r>
        <w:t xml:space="preserve"> </w:t>
      </w:r>
      <w:r>
        <w:t xml:space="preserve">inland suburbs, with SEIFA indices consistently above 1,070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Gorokan-Kanwal-Charmhaven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exhibit severe socioeconomic stress: assault rates of 5.8-12.4 per 1,000, welfare card holders exceeding 30% of population</w:t>
      </w:r>
    </w:p>
    <w:p>
      <w:pPr>
        <w:numPr>
          <w:ilvl w:val="0"/>
          <w:numId w:val="1001"/>
        </w:numPr>
        <w:pStyle w:val="Compact"/>
      </w:pPr>
      <w:r>
        <w:t xml:space="preserve">The region approved</w:t>
      </w:r>
      <w:r>
        <w:t xml:space="preserve"> </w:t>
      </w:r>
      <w:r>
        <w:rPr>
          <w:b/>
        </w:rPr>
        <w:t xml:space="preserve">1,086 dwellings</w:t>
      </w:r>
      <w:r>
        <w:t xml:space="preserve"> </w:t>
      </w:r>
      <w:r>
        <w:t xml:space="preserve">valued at</w:t>
      </w:r>
      <w:r>
        <w:t xml:space="preserve"> </w:t>
      </w:r>
      <w:r>
        <w:rPr>
          <w:b/>
        </w:rPr>
        <w:t xml:space="preserve">$1.07 billion</w:t>
      </w:r>
      <w:r>
        <w:t xml:space="preserve">, with growth concentrated in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(224 approvals) and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(184 approvals)</w:t>
      </w:r>
    </w:p>
    <w:p>
      <w:pPr>
        <w:numPr>
          <w:ilvl w:val="0"/>
          <w:numId w:val="1001"/>
        </w:numPr>
        <w:pStyle w:val="Compact"/>
      </w:pPr>
      <w:r>
        <w:t xml:space="preserve">Tourism remains underdeveloped: visitor spend (</w:t>
      </w:r>
      <w:r>
        <w:rPr>
          <w:b/>
        </w:rPr>
        <w:t xml:space="preserve">$58.3 million</w:t>
      </w:r>
      <w:r>
        <w:t xml:space="preserve">) represents just 13% of resident spend across the LGA, though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retail hub attracts significant visitor traffic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opulation-demographics"/>
      <w:r>
        <w:t xml:space="preserve">1. Population &amp; Demographics</w:t>
      </w:r>
      <w:bookmarkEnd w:id="22"/>
    </w:p>
    <w:p>
      <w:pPr>
        <w:pStyle w:val="FirstParagraph"/>
      </w:pPr>
      <w:r>
        <w:t xml:space="preserve">The Central Coast’s total population of</w:t>
      </w:r>
      <w:r>
        <w:t xml:space="preserve"> </w:t>
      </w:r>
      <w:r>
        <w:rPr>
          <w:b/>
        </w:rPr>
        <w:t xml:space="preserve">385,806</w:t>
      </w:r>
      <w:r>
        <w:t xml:space="preserve"> </w:t>
      </w:r>
      <w:r>
        <w:t xml:space="preserve">recorded modest growth of</w:t>
      </w:r>
      <w:r>
        <w:t xml:space="preserve"> </w:t>
      </w:r>
      <w:r>
        <w:rPr>
          <w:b/>
        </w:rPr>
        <w:t xml:space="preserve">+3,193 persons</w:t>
      </w:r>
      <w:r>
        <w:t xml:space="preserve"> </w:t>
      </w:r>
      <w:r>
        <w:t xml:space="preserve">(2023-24), driven primarily by overseas migration (+2,778) while internal migration remained marginally negative (-119). Growth patterns diverge sharply: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led with +650 residents fueled by internal migration (+469), while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added +516 through strong overseas arrivals (+305). Conversely, aging areas experienced decline—</w:t>
      </w:r>
      <w:r>
        <w:rPr>
          <w:b/>
        </w:rPr>
        <w:t xml:space="preserve">Toukley-Norah Head</w:t>
      </w:r>
      <w:r>
        <w:t xml:space="preserve"> </w:t>
      </w:r>
      <w:r>
        <w:t xml:space="preserve">lost 19 residents due to natural population decrease (-111).</w:t>
      </w:r>
    </w:p>
    <w:p>
      <w:pPr>
        <w:pStyle w:val="BodyText"/>
      </w:pPr>
      <w:r>
        <w:rPr>
          <w:b/>
        </w:rPr>
        <w:t xml:space="preserve">Age structure</w:t>
      </w:r>
      <w:r>
        <w:t xml:space="preserve"> </w:t>
      </w:r>
      <w:r>
        <w:t xml:space="preserve">reveals regional disparities. The median age across all SA2s ranges from</w:t>
      </w:r>
      <w:r>
        <w:t xml:space="preserve"> </w:t>
      </w:r>
      <w:r>
        <w:rPr>
          <w:b/>
        </w:rPr>
        <w:t xml:space="preserve">34-35</w:t>
      </w:r>
      <w:r>
        <w:t xml:space="preserve"> </w:t>
      </w:r>
      <w:r>
        <w:t xml:space="preserve">in growth suburbs (</w:t>
      </w:r>
      <w:r>
        <w:rPr>
          <w:b/>
        </w:rPr>
        <w:t xml:space="preserve">Blue Haven-San Remo</w:t>
      </w:r>
      <w:r>
        <w:t xml:space="preserve">,</w:t>
      </w:r>
      <w:r>
        <w:t xml:space="preserve"> </w:t>
      </w:r>
      <w:r>
        <w:rPr>
          <w:b/>
        </w:rPr>
        <w:t xml:space="preserve">Warnervale-Wadalba</w:t>
      </w:r>
      <w:r>
        <w:t xml:space="preserve">) to</w:t>
      </w:r>
      <w:r>
        <w:t xml:space="preserve"> </w:t>
      </w:r>
      <w:r>
        <w:rPr>
          <w:b/>
        </w:rPr>
        <w:t xml:space="preserve">48-49</w:t>
      </w:r>
      <w:r>
        <w:t xml:space="preserve"> </w:t>
      </w:r>
      <w:r>
        <w:t xml:space="preserve">in retirement destinations (</w:t>
      </w:r>
      <w:r>
        <w:rPr>
          <w:b/>
        </w:rPr>
        <w:t xml:space="preserve">Toukley-Norah Head</w:t>
      </w:r>
      <w:r>
        <w:t xml:space="preserve">,</w:t>
      </w:r>
      <w:r>
        <w:t xml:space="preserve"> </w:t>
      </w:r>
      <w:r>
        <w:rPr>
          <w:b/>
        </w:rPr>
        <w:t xml:space="preserve">Lake Munmorah-Mannering Park</w:t>
      </w:r>
      <w:r>
        <w:t xml:space="preserve">,</w:t>
      </w:r>
      <w:r>
        <w:t xml:space="preserve"> </w:t>
      </w:r>
      <w:r>
        <w:rPr>
          <w:b/>
        </w:rPr>
        <w:t xml:space="preserve">Erina-Green Point</w:t>
      </w:r>
      <w:r>
        <w:t xml:space="preserve">). Youth representation (under 20) peaks at</w:t>
      </w:r>
      <w:r>
        <w:t xml:space="preserve"> </w:t>
      </w:r>
      <w:r>
        <w:rPr>
          <w:b/>
        </w:rPr>
        <w:t xml:space="preserve">31.45%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Warnervale-Wadalba</w:t>
      </w:r>
      <w:r>
        <w:t xml:space="preserve">, while seniors (over 69) concentrate in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(25.7%) and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(26.04%).</w:t>
      </w:r>
    </w:p>
    <w:p>
      <w:pPr>
        <w:pStyle w:val="BodyText"/>
      </w:pPr>
      <w:r>
        <w:rPr>
          <w:b/>
        </w:rPr>
        <w:t xml:space="preserve">Cultural diversity</w:t>
      </w:r>
      <w:r>
        <w:t xml:space="preserve"> </w:t>
      </w:r>
      <w:r>
        <w:t xml:space="preserve">remains limited: only</w:t>
      </w:r>
      <w:r>
        <w:t xml:space="preserve"> </w:t>
      </w:r>
      <w:r>
        <w:rPr>
          <w:b/>
        </w:rPr>
        <w:t xml:space="preserve">14.8%</w:t>
      </w:r>
      <w:r>
        <w:t xml:space="preserve"> </w:t>
      </w:r>
      <w:r>
        <w:t xml:space="preserve">born overseas (range: 10.38% in</w:t>
      </w:r>
      <w:r>
        <w:t xml:space="preserve"> </w:t>
      </w:r>
      <w:r>
        <w:rPr>
          <w:b/>
        </w:rPr>
        <w:t xml:space="preserve">Budgewoi</w:t>
      </w:r>
      <w:r>
        <w:t xml:space="preserve"> </w:t>
      </w:r>
      <w:r>
        <w:t xml:space="preserve">to 21.21% in</w:t>
      </w:r>
      <w:r>
        <w:t xml:space="preserve"> </w:t>
      </w:r>
      <w:r>
        <w:rPr>
          <w:b/>
        </w:rPr>
        <w:t xml:space="preserve">Gosford-Springfield</w:t>
      </w:r>
      <w:r>
        <w:t xml:space="preserve">), with language diversity equally low (4.8% speak languages other than English).</w:t>
      </w:r>
      <w:r>
        <w:t xml:space="preserve"> </w:t>
      </w:r>
      <w:r>
        <w:rPr>
          <w:b/>
        </w:rPr>
        <w:t xml:space="preserve">Indigenous populations</w:t>
      </w:r>
      <w:r>
        <w:t xml:space="preserve"> </w:t>
      </w:r>
      <w:r>
        <w:t xml:space="preserve">total approximately</w:t>
      </w:r>
      <w:r>
        <w:t xml:space="preserve"> </w:t>
      </w:r>
      <w:r>
        <w:rPr>
          <w:b/>
        </w:rPr>
        <w:t xml:space="preserve">10,500</w:t>
      </w:r>
      <w:r>
        <w:t xml:space="preserve">, comprising 2.7% of residents—notably concentrated in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(7.78%),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(6.61%),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(5.64%).</w:t>
      </w:r>
    </w:p>
    <w:p>
      <w:pPr>
        <w:pStyle w:val="BodyText"/>
      </w:pPr>
      <w:r>
        <w:t xml:space="preserve">Population density varies from</w:t>
      </w:r>
      <w:r>
        <w:t xml:space="preserve"> </w:t>
      </w:r>
      <w:r>
        <w:rPr>
          <w:b/>
        </w:rPr>
        <w:t xml:space="preserve">10.3 persons/km²</w:t>
      </w:r>
      <w:r>
        <w:t xml:space="preserve"> </w:t>
      </w:r>
      <w:r>
        <w:t xml:space="preserve">in rural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2,117 persons/km²</w:t>
      </w:r>
      <w:r>
        <w:t xml:space="preserve"> </w:t>
      </w:r>
      <w:r>
        <w:t xml:space="preserve">in coastal</w:t>
      </w:r>
      <w:r>
        <w:t xml:space="preserve"> </w:t>
      </w:r>
      <w:r>
        <w:rPr>
          <w:b/>
        </w:rPr>
        <w:t xml:space="preserve">Bateau Bay-Killarney Vale</w:t>
      </w:r>
      <w:r>
        <w:t xml:space="preserve">, reflecting the region’s mix of bushland hinterland and dense coastal settlement.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conomic-activity-business"/>
      <w:r>
        <w:t xml:space="preserve">2. Economic Activity &amp; Business</w:t>
      </w:r>
      <w:bookmarkEnd w:id="23"/>
    </w:p>
    <w:p>
      <w:pPr>
        <w:pStyle w:val="FirstParagraph"/>
      </w:pPr>
      <w:r>
        <w:t xml:space="preserve">The region supports</w:t>
      </w:r>
      <w:r>
        <w:t xml:space="preserve"> </w:t>
      </w:r>
      <w:r>
        <w:rPr>
          <w:b/>
        </w:rPr>
        <w:t xml:space="preserve">29,982 total businesses</w:t>
      </w:r>
      <w:r>
        <w:t xml:space="preserve">, with concentrations in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(2,629),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(1,807), and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(1,577). Manufacturing remains modest (1,007 businesses total), while healthcare businesses (2,453) and tourism enterprises (1,060) reflect service-oriented economies.</w:t>
      </w:r>
    </w:p>
    <w:p>
      <w:pPr>
        <w:pStyle w:val="BodyText"/>
      </w:pPr>
      <w:r>
        <w:rPr>
          <w:b/>
        </w:rPr>
        <w:t xml:space="preserve">Labour force participation</w:t>
      </w:r>
      <w:r>
        <w:t xml:space="preserve"> </w:t>
      </w:r>
      <w:r>
        <w:t xml:space="preserve">totals</w:t>
      </w:r>
      <w:r>
        <w:t xml:space="preserve"> </w:t>
      </w:r>
      <w:r>
        <w:rPr>
          <w:b/>
        </w:rPr>
        <w:t xml:space="preserve">194,417</w:t>
      </w:r>
      <w:r>
        <w:t xml:space="preserve"> </w:t>
      </w:r>
      <w:r>
        <w:t xml:space="preserve">across the LGA, but unemployment patterns expose the Gosford-Wyong divide.</w:t>
      </w:r>
      <w:r>
        <w:t xml:space="preserve"> </w:t>
      </w:r>
      <w:r>
        <w:rPr>
          <w:b/>
        </w:rPr>
        <w:t xml:space="preserve">Wyong SA3</w:t>
      </w:r>
      <w:r>
        <w:t xml:space="preserve"> </w:t>
      </w:r>
      <w:r>
        <w:t xml:space="preserve">averages</w:t>
      </w:r>
      <w:r>
        <w:t xml:space="preserve"> </w:t>
      </w:r>
      <w:r>
        <w:rPr>
          <w:b/>
        </w:rPr>
        <w:t xml:space="preserve">4.5% unemployment</w:t>
      </w:r>
      <w:r>
        <w:t xml:space="preserve"> </w:t>
      </w:r>
      <w:r>
        <w:t xml:space="preserve">with hotspots including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(8.1%, 357 unemployed),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(5.8%, 628 unemployed), and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(5.8%, 341 unemployed). In contrast,</w:t>
      </w:r>
      <w:r>
        <w:t xml:space="preserve"> </w:t>
      </w:r>
      <w:r>
        <w:rPr>
          <w:b/>
        </w:rPr>
        <w:t xml:space="preserve">Gosford SA3</w:t>
      </w:r>
      <w:r>
        <w:t xml:space="preserve"> </w:t>
      </w:r>
      <w:r>
        <w:t xml:space="preserve">averages</w:t>
      </w:r>
      <w:r>
        <w:t xml:space="preserve"> </w:t>
      </w:r>
      <w:r>
        <w:rPr>
          <w:b/>
        </w:rPr>
        <w:t xml:space="preserve">2.4% unemployment</w:t>
      </w:r>
      <w:r>
        <w:t xml:space="preserve">, with premium suburbs recording sub-2% rates: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(1.1%),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(1.4%),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(1.3%).</w:t>
      </w:r>
    </w:p>
    <w:p>
      <w:pPr>
        <w:pStyle w:val="BodyText"/>
      </w:pPr>
      <w:r>
        <w:rPr>
          <w:b/>
        </w:rPr>
        <w:t xml:space="preserve">JobSeeker Payment</w:t>
      </w:r>
      <w:r>
        <w:t xml:space="preserve"> </w:t>
      </w:r>
      <w:r>
        <w:t xml:space="preserve">recipients number</w:t>
      </w:r>
      <w:r>
        <w:t xml:space="preserve"> </w:t>
      </w:r>
      <w:r>
        <w:rPr>
          <w:b/>
        </w:rPr>
        <w:t xml:space="preserve">14,270 LGA-wide</w:t>
      </w:r>
      <w:r>
        <w:t xml:space="preserve">, disproportionately concentrated in disadvantaged Wyong suburbs: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(1,165),</w:t>
      </w:r>
      <w:r>
        <w:t xml:space="preserve"> </w:t>
      </w:r>
      <w:r>
        <w:rPr>
          <w:b/>
        </w:rPr>
        <w:t xml:space="preserve">Umina-Booker Bay-Patonga</w:t>
      </w:r>
      <w:r>
        <w:t xml:space="preserve"> </w:t>
      </w:r>
      <w:r>
        <w:t xml:space="preserve">(1,030),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(1,020). This represents</w:t>
      </w:r>
      <w:r>
        <w:t xml:space="preserve"> </w:t>
      </w:r>
      <w:r>
        <w:rPr>
          <w:b/>
        </w:rPr>
        <w:t xml:space="preserve">7.3%</w:t>
      </w:r>
      <w:r>
        <w:t xml:space="preserve"> </w:t>
      </w:r>
      <w:r>
        <w:t xml:space="preserve">of the labour force claiming unemployment support.</w:t>
      </w:r>
    </w:p>
    <w:p>
      <w:pPr>
        <w:pStyle w:val="BodyText"/>
      </w:pPr>
      <w:r>
        <w:rPr>
          <w:b/>
        </w:rPr>
        <w:t xml:space="preserve">Median household income</w:t>
      </w:r>
      <w:r>
        <w:t xml:space="preserve"> </w:t>
      </w:r>
      <w:r>
        <w:t xml:space="preserve">varies dramatically—from</w:t>
      </w:r>
      <w:r>
        <w:t xml:space="preserve"> </w:t>
      </w:r>
      <w:r>
        <w:rPr>
          <w:b/>
        </w:rPr>
        <w:t xml:space="preserve">$1,869/week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$1,942/week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down to</w:t>
      </w:r>
      <w:r>
        <w:t xml:space="preserve"> </w:t>
      </w:r>
      <w:r>
        <w:rPr>
          <w:b/>
        </w:rPr>
        <w:t xml:space="preserve">$971/week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$977/week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Lake Munmorah-Mannering Park</w:t>
      </w:r>
      <w:r>
        <w:t xml:space="preserve">. The wealthiest quartile earns 80-90% more than the bottom quartile.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housing-affordability"/>
      <w:r>
        <w:t xml:space="preserve">3. Housing &amp; Affordability</w:t>
      </w:r>
      <w:bookmarkEnd w:id="24"/>
    </w:p>
    <w:p>
      <w:pPr>
        <w:pStyle w:val="FirstParagraph"/>
      </w:pPr>
      <w:r>
        <w:rPr>
          <w:b/>
        </w:rPr>
        <w:t xml:space="preserve">House prices</w:t>
      </w:r>
      <w:r>
        <w:t xml:space="preserve"> </w:t>
      </w:r>
      <w:r>
        <w:t xml:space="preserve">exhibit extreme stratification. Premium coastal markets command</w:t>
      </w:r>
      <w:r>
        <w:t xml:space="preserve"> </w:t>
      </w:r>
      <w:r>
        <w:rPr>
          <w:b/>
        </w:rPr>
        <w:t xml:space="preserve">$1.7-1.96 million</w:t>
      </w:r>
      <w:r>
        <w:t xml:space="preserve">: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($1,737,500),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($1,700,000),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($1,964,000). Mid-tier suburbs (</w:t>
      </w:r>
      <w:r>
        <w:rPr>
          <w:b/>
        </w:rPr>
        <w:t xml:space="preserve">Terrigal</w:t>
      </w:r>
      <w:r>
        <w:t xml:space="preserve">,</w:t>
      </w:r>
      <w:r>
        <w:t xml:space="preserve"> </w:t>
      </w:r>
      <w:r>
        <w:rPr>
          <w:b/>
        </w:rPr>
        <w:t xml:space="preserve">The Entrance</w:t>
      </w:r>
      <w:r>
        <w:t xml:space="preserve">,</w:t>
      </w:r>
      <w:r>
        <w:t xml:space="preserve"> </w:t>
      </w:r>
      <w:r>
        <w:rPr>
          <w:b/>
        </w:rPr>
        <w:t xml:space="preserve">Umina</w:t>
      </w:r>
      <w:r>
        <w:t xml:space="preserve">) range</w:t>
      </w:r>
      <w:r>
        <w:t xml:space="preserve"> </w:t>
      </w:r>
      <w:r>
        <w:rPr>
          <w:b/>
        </w:rPr>
        <w:t xml:space="preserve">$1.1-1.46 million</w:t>
      </w:r>
      <w:r>
        <w:t xml:space="preserve">. Affordable entry points exist in western Wyong: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($828,750),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($800,000),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($885,000).</w:t>
      </w:r>
    </w:p>
    <w:p>
      <w:pPr>
        <w:pStyle w:val="BodyText"/>
      </w:pPr>
      <w:r>
        <w:rPr>
          <w:b/>
        </w:rPr>
        <w:t xml:space="preserve">Unit prices</w:t>
      </w:r>
      <w:r>
        <w:t xml:space="preserve"> </w:t>
      </w:r>
      <w:r>
        <w:t xml:space="preserve">follow similar gradients, from</w:t>
      </w:r>
      <w:r>
        <w:t xml:space="preserve"> </w:t>
      </w:r>
      <w:r>
        <w:rPr>
          <w:b/>
        </w:rPr>
        <w:t xml:space="preserve">$2.64 million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Erina-Green Point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$1.59 million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down to</w:t>
      </w:r>
      <w:r>
        <w:t xml:space="preserve"> </w:t>
      </w:r>
      <w:r>
        <w:rPr>
          <w:b/>
        </w:rPr>
        <w:t xml:space="preserve">$500,000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$510,000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Budgewoi-Buff Point-Halekulani</w:t>
      </w:r>
      <w:r>
        <w:t xml:space="preserve">.</w:t>
      </w:r>
    </w:p>
    <w:p>
      <w:pPr>
        <w:pStyle w:val="BodyText"/>
      </w:pPr>
      <w:r>
        <w:rPr>
          <w:b/>
        </w:rPr>
        <w:t xml:space="preserve">Rental markets</w:t>
      </w:r>
      <w:r>
        <w:t xml:space="preserve"> </w:t>
      </w:r>
      <w:r>
        <w:t xml:space="preserve">show median house rents of</w:t>
      </w:r>
      <w:r>
        <w:t xml:space="preserve"> </w:t>
      </w:r>
      <w:r>
        <w:rPr>
          <w:b/>
        </w:rPr>
        <w:t xml:space="preserve">$630-900/week</w:t>
      </w:r>
      <w:r>
        <w:t xml:space="preserve"> </w:t>
      </w:r>
      <w:r>
        <w:t xml:space="preserve">(units:</w:t>
      </w:r>
      <w:r>
        <w:t xml:space="preserve"> </w:t>
      </w:r>
      <w:r>
        <w:rPr>
          <w:b/>
        </w:rPr>
        <w:t xml:space="preserve">$460-675/week</w:t>
      </w:r>
      <w:r>
        <w:t xml:space="preserve">). Premium areas charge</w:t>
      </w:r>
      <w:r>
        <w:t xml:space="preserve"> </w:t>
      </w:r>
      <w:r>
        <w:rPr>
          <w:b/>
        </w:rPr>
        <w:t xml:space="preserve">$850-1,088/week</w:t>
      </w:r>
      <w:r>
        <w:t xml:space="preserve"> </w:t>
      </w:r>
      <w:r>
        <w:t xml:space="preserve">for houses, while affordable Wyong suburbs offer</w:t>
      </w:r>
      <w:r>
        <w:t xml:space="preserve"> </w:t>
      </w:r>
      <w:r>
        <w:rPr>
          <w:b/>
        </w:rPr>
        <w:t xml:space="preserve">$596-650/week</w:t>
      </w:r>
      <w:r>
        <w:t xml:space="preserve">.</w:t>
      </w:r>
    </w:p>
    <w:p>
      <w:pPr>
        <w:pStyle w:val="BodyText"/>
      </w:pPr>
      <w:r>
        <w:rPr>
          <w:b/>
        </w:rPr>
        <w:t xml:space="preserve">Price-to-income ratios</w:t>
      </w:r>
      <w:r>
        <w:t xml:space="preserve"> </w:t>
      </w:r>
      <w:r>
        <w:t xml:space="preserve">highlight severe stress: in</w:t>
      </w:r>
      <w:r>
        <w:t xml:space="preserve"> </w:t>
      </w:r>
      <w:r>
        <w:rPr>
          <w:b/>
        </w:rPr>
        <w:t xml:space="preserve">Avoca Beach-Copacabana</w:t>
      </w:r>
      <w:r>
        <w:t xml:space="preserve">, the median house costs</w:t>
      </w:r>
      <w:r>
        <w:t xml:space="preserve"> </w:t>
      </w:r>
      <w:r>
        <w:rPr>
          <w:b/>
        </w:rPr>
        <w:t xml:space="preserve">18.2x annual household income</w:t>
      </w:r>
      <w:r>
        <w:t xml:space="preserve">; in</w:t>
      </w:r>
      <w:r>
        <w:t xml:space="preserve"> </w:t>
      </w:r>
      <w:r>
        <w:rPr>
          <w:b/>
        </w:rPr>
        <w:t xml:space="preserve">Wamberal-Forresters Beach</w:t>
      </w:r>
      <w:r>
        <w:t xml:space="preserve">,</w:t>
      </w:r>
      <w:r>
        <w:t xml:space="preserve"> </w:t>
      </w:r>
      <w:r>
        <w:rPr>
          <w:b/>
        </w:rPr>
        <w:t xml:space="preserve">18.8x</w:t>
      </w:r>
      <w:r>
        <w:t xml:space="preserve">. Even modest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shows a ratio of</w:t>
      </w:r>
      <w:r>
        <w:t xml:space="preserve"> </w:t>
      </w:r>
      <w:r>
        <w:rPr>
          <w:b/>
        </w:rPr>
        <w:t xml:space="preserve">16.8x</w:t>
      </w:r>
      <w:r>
        <w:t xml:space="preserve">, indicating widespread unaffordability.</w:t>
      </w:r>
    </w:p>
    <w:p>
      <w:pPr>
        <w:pStyle w:val="BodyText"/>
      </w:pPr>
      <w:r>
        <w:rPr>
          <w:b/>
        </w:rPr>
        <w:t xml:space="preserve">Building approvals</w:t>
      </w:r>
      <w:r>
        <w:t xml:space="preserve"> </w:t>
      </w:r>
      <w:r>
        <w:t xml:space="preserve">totalled</w:t>
      </w:r>
      <w:r>
        <w:t xml:space="preserve"> </w:t>
      </w:r>
      <w:r>
        <w:rPr>
          <w:b/>
        </w:rPr>
        <w:t xml:space="preserve">1,086 dwellings</w:t>
      </w:r>
      <w:r>
        <w:t xml:space="preserve"> </w:t>
      </w:r>
      <w:r>
        <w:t xml:space="preserve">valued at</w:t>
      </w:r>
      <w:r>
        <w:t xml:space="preserve"> </w:t>
      </w:r>
      <w:r>
        <w:rPr>
          <w:b/>
        </w:rPr>
        <w:t xml:space="preserve">$1.07 billion</w:t>
      </w:r>
      <w:r>
        <w:t xml:space="preserve"> </w:t>
      </w:r>
      <w:r>
        <w:t xml:space="preserve">across the dataset. Growth corridors dominate: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(224 dwellings, $94M),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(184 dwellings, $157M),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(133 dwellings, $86.7M). Rural</w:t>
      </w:r>
      <w:r>
        <w:t xml:space="preserve"> </w:t>
      </w:r>
      <w:r>
        <w:rPr>
          <w:b/>
        </w:rPr>
        <w:t xml:space="preserve">Calga-Kulnura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Jilliby-Yarramalong</w:t>
      </w:r>
      <w:r>
        <w:t xml:space="preserve"> </w:t>
      </w:r>
      <w:r>
        <w:t xml:space="preserve">recorded minimal approvals (8 and 7 respectively).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ocioeconomic-wellbeing"/>
      <w:r>
        <w:t xml:space="preserve">4. Socioeconomic Wellbeing</w:t>
      </w:r>
      <w:bookmarkEnd w:id="25"/>
    </w:p>
    <w:p>
      <w:pPr>
        <w:pStyle w:val="FirstParagraph"/>
      </w:pPr>
      <w:r>
        <w:rPr>
          <w:b/>
        </w:rPr>
        <w:t xml:space="preserve">SEIFA indices</w:t>
      </w:r>
      <w:r>
        <w:t xml:space="preserve"> </w:t>
      </w:r>
      <w:r>
        <w:t xml:space="preserve">(Index of Relative Socio-economic Advantage and Disadvantage) reveal sharp inequality. Top-performing areas include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(1,085.45),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(1,084.48),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(1,076.85)—all exceeding the national mean by 8+ percentage points. Bottom performers cluster in Wyong: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(886.3),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(891.37),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(891.52).</w:t>
      </w:r>
    </w:p>
    <w:p>
      <w:pPr>
        <w:pStyle w:val="BodyText"/>
      </w:pPr>
      <w:r>
        <w:rPr>
          <w:b/>
        </w:rPr>
        <w:t xml:space="preserve">Welfare dependency</w:t>
      </w:r>
      <w:r>
        <w:t xml:space="preserve"> </w:t>
      </w:r>
      <w:r>
        <w:t xml:space="preserve">is pronounced.</w:t>
      </w:r>
      <w:r>
        <w:t xml:space="preserve"> </w:t>
      </w:r>
      <w:r>
        <w:rPr>
          <w:b/>
        </w:rPr>
        <w:t xml:space="preserve">Pension Concession Card</w:t>
      </w:r>
      <w:r>
        <w:t xml:space="preserve"> </w:t>
      </w:r>
      <w:r>
        <w:t xml:space="preserve">holders total</w:t>
      </w:r>
      <w:r>
        <w:t xml:space="preserve"> </w:t>
      </w:r>
      <w:r>
        <w:rPr>
          <w:b/>
        </w:rPr>
        <w:t xml:space="preserve">91,245</w:t>
      </w:r>
      <w:r>
        <w:t xml:space="preserve"> </w:t>
      </w:r>
      <w:r>
        <w:t xml:space="preserve">(approximately 24% of population), peaking in disadvantaged suburbs: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(6,925),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(6,650),</w:t>
      </w:r>
      <w:r>
        <w:t xml:space="preserve"> </w:t>
      </w:r>
      <w:r>
        <w:rPr>
          <w:b/>
        </w:rPr>
        <w:t xml:space="preserve">Bateau Bay-Killarney Vale</w:t>
      </w:r>
      <w:r>
        <w:t xml:space="preserve"> </w:t>
      </w:r>
      <w:r>
        <w:t xml:space="preserve">(5,465).</w:t>
      </w:r>
      <w:r>
        <w:t xml:space="preserve"> </w:t>
      </w:r>
      <w:r>
        <w:rPr>
          <w:b/>
        </w:rPr>
        <w:t xml:space="preserve">Commonwealth Rent Assistance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27,850 households</w:t>
      </w:r>
      <w:r>
        <w:t xml:space="preserve">, with concentrations in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(2,565),</w:t>
      </w:r>
      <w:r>
        <w:t xml:space="preserve"> </w:t>
      </w:r>
      <w:r>
        <w:rPr>
          <w:b/>
        </w:rPr>
        <w:t xml:space="preserve">Umina</w:t>
      </w:r>
      <w:r>
        <w:t xml:space="preserve"> </w:t>
      </w:r>
      <w:r>
        <w:t xml:space="preserve">(2,425),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(2,030).</w:t>
      </w:r>
    </w:p>
    <w:p>
      <w:pPr>
        <w:pStyle w:val="BodyText"/>
      </w:pPr>
      <w:r>
        <w:rPr>
          <w:b/>
        </w:rPr>
        <w:t xml:space="preserve">Disability Support Pension</w:t>
      </w:r>
      <w:r>
        <w:t xml:space="preserve"> </w:t>
      </w:r>
      <w:r>
        <w:t xml:space="preserve">recipients number</w:t>
      </w:r>
      <w:r>
        <w:t xml:space="preserve"> </w:t>
      </w:r>
      <w:r>
        <w:rPr>
          <w:b/>
        </w:rPr>
        <w:t xml:space="preserve">16,875</w:t>
      </w:r>
      <w:r>
        <w:t xml:space="preserve">, with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(1,520) and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(1,150) showing highest counts.</w:t>
      </w:r>
      <w:r>
        <w:t xml:space="preserve"> </w:t>
      </w:r>
      <w:r>
        <w:rPr>
          <w:b/>
        </w:rPr>
        <w:t xml:space="preserve">Parenting Payment Single</w:t>
      </w:r>
      <w:r>
        <w:t xml:space="preserve"> </w:t>
      </w:r>
      <w:r>
        <w:t xml:space="preserve">(6,095 total) highlights single-parent stress in</w:t>
      </w:r>
      <w:r>
        <w:t xml:space="preserve"> </w:t>
      </w:r>
      <w:r>
        <w:rPr>
          <w:b/>
        </w:rPr>
        <w:t xml:space="preserve">Blue Haven-San Remo</w:t>
      </w:r>
      <w:r>
        <w:t xml:space="preserve"> </w:t>
      </w:r>
      <w:r>
        <w:t xml:space="preserve">(405),</w:t>
      </w:r>
      <w:r>
        <w:t xml:space="preserve"> </w:t>
      </w:r>
      <w:r>
        <w:rPr>
          <w:b/>
        </w:rPr>
        <w:t xml:space="preserve">Gorokan</w:t>
      </w:r>
      <w:r>
        <w:t xml:space="preserve"> </w:t>
      </w:r>
      <w:r>
        <w:t xml:space="preserve">(640),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(470).</w:t>
      </w:r>
    </w:p>
    <w:p>
      <w:pPr>
        <w:pStyle w:val="BodyText"/>
      </w:pPr>
      <w:r>
        <w:rPr>
          <w:b/>
        </w:rPr>
        <w:t xml:space="preserve">Homelessness</w:t>
      </w:r>
      <w:r>
        <w:t xml:space="preserve"> </w:t>
      </w:r>
      <w:r>
        <w:t xml:space="preserve">affects</w:t>
      </w:r>
      <w:r>
        <w:t xml:space="preserve"> </w:t>
      </w:r>
      <w:r>
        <w:rPr>
          <w:b/>
        </w:rPr>
        <w:t xml:space="preserve">1,734 persons</w:t>
      </w:r>
      <w:r>
        <w:t xml:space="preserve">, concentrated 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(236),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(273),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(160),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(138).</w:t>
      </w:r>
    </w:p>
    <w:p>
      <w:pPr>
        <w:pStyle w:val="BodyText"/>
      </w:pPr>
      <w:r>
        <w:rPr>
          <w:b/>
        </w:rPr>
        <w:t xml:space="preserve">Educational attainment</w:t>
      </w:r>
      <w:r>
        <w:t xml:space="preserve"> </w:t>
      </w:r>
      <w:r>
        <w:t xml:space="preserve">varies widely.</w:t>
      </w:r>
      <w:r>
        <w:t xml:space="preserve"> </w:t>
      </w:r>
      <w:r>
        <w:rPr>
          <w:b/>
        </w:rPr>
        <w:t xml:space="preserve">Year 12 completion</w:t>
      </w:r>
      <w:r>
        <w:t xml:space="preserve"> </w:t>
      </w:r>
      <w:r>
        <w:t xml:space="preserve">ranges from</w:t>
      </w:r>
      <w:r>
        <w:t xml:space="preserve"> </w:t>
      </w:r>
      <w:r>
        <w:rPr>
          <w:b/>
        </w:rPr>
        <w:t xml:space="preserve">44-45%</w:t>
      </w:r>
      <w:r>
        <w:t xml:space="preserve"> </w:t>
      </w:r>
      <w:r>
        <w:t xml:space="preserve">in affluent areas (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Terrigal</w:t>
      </w:r>
      <w:r>
        <w:t xml:space="preserve">,</w:t>
      </w:r>
      <w:r>
        <w:t xml:space="preserve"> </w:t>
      </w:r>
      <w:r>
        <w:rPr>
          <w:b/>
        </w:rPr>
        <w:t xml:space="preserve">Wamberal</w:t>
      </w:r>
      <w:r>
        <w:t xml:space="preserve">) to</w:t>
      </w:r>
      <w:r>
        <w:t xml:space="preserve"> </w:t>
      </w:r>
      <w:r>
        <w:rPr>
          <w:b/>
        </w:rPr>
        <w:t xml:space="preserve">22-24%</w:t>
      </w:r>
      <w:r>
        <w:t xml:space="preserve"> </w:t>
      </w:r>
      <w:r>
        <w:t xml:space="preserve">in disadvantaged zones (</w:t>
      </w:r>
      <w:r>
        <w:rPr>
          <w:b/>
        </w:rPr>
        <w:t xml:space="preserve">Lake Munmorah</w:t>
      </w:r>
      <w:r>
        <w:t xml:space="preserve">,</w:t>
      </w:r>
      <w:r>
        <w:t xml:space="preserve"> </w:t>
      </w:r>
      <w:r>
        <w:rPr>
          <w:b/>
        </w:rPr>
        <w:t xml:space="preserve">Wyong</w:t>
      </w:r>
      <w:r>
        <w:t xml:space="preserve">,</w:t>
      </w:r>
      <w:r>
        <w:t xml:space="preserve"> </w:t>
      </w:r>
      <w:r>
        <w:rPr>
          <w:b/>
        </w:rPr>
        <w:t xml:space="preserve">Toukley</w:t>
      </w:r>
      <w:r>
        <w:t xml:space="preserve">).</w:t>
      </w:r>
      <w:r>
        <w:t xml:space="preserve"> </w:t>
      </w:r>
      <w:r>
        <w:rPr>
          <w:b/>
        </w:rPr>
        <w:t xml:space="preserve">Bachelor degrees</w:t>
      </w:r>
      <w:r>
        <w:t xml:space="preserve"> </w:t>
      </w:r>
      <w:r>
        <w:t xml:space="preserve">are held by only</w:t>
      </w:r>
      <w:r>
        <w:t xml:space="preserve"> </w:t>
      </w:r>
      <w:r>
        <w:rPr>
          <w:b/>
        </w:rPr>
        <w:t xml:space="preserve">5.5%</w:t>
      </w:r>
      <w:r>
        <w:t xml:space="preserve"> </w:t>
      </w:r>
      <w:r>
        <w:t xml:space="preserve">in low-SES suburbs versus</w:t>
      </w:r>
      <w:r>
        <w:t xml:space="preserve"> </w:t>
      </w:r>
      <w:r>
        <w:rPr>
          <w:b/>
        </w:rPr>
        <w:t xml:space="preserve">13-15%</w:t>
      </w:r>
      <w:r>
        <w:t xml:space="preserve"> </w:t>
      </w:r>
      <w:r>
        <w:t xml:space="preserve">in premium areas.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rime-safety"/>
      <w:r>
        <w:t xml:space="preserve">5. Crime &amp; Safety</w:t>
      </w:r>
      <w:bookmarkEnd w:id="26"/>
    </w:p>
    <w:p>
      <w:pPr>
        <w:pStyle w:val="FirstParagraph"/>
      </w:pPr>
      <w:r>
        <w:t xml:space="preserve">Crime data reveals significant variation, though some SA2s show sparse reporting (particularly</w:t>
      </w:r>
      <w:r>
        <w:t xml:space="preserve"> </w:t>
      </w:r>
      <w:r>
        <w:rPr>
          <w:b/>
        </w:rPr>
        <w:t xml:space="preserve">Lake Munmorah-Mannering Park</w:t>
      </w:r>
      <w:r>
        <w:t xml:space="preserve"> </w:t>
      </w:r>
      <w:r>
        <w:t xml:space="preserve">with near-zero rates, suggesting data quality issues).</w:t>
      </w:r>
    </w:p>
    <w:p>
      <w:pPr>
        <w:pStyle w:val="BodyText"/>
      </w:pPr>
      <w:r>
        <w:rPr>
          <w:b/>
        </w:rPr>
        <w:t xml:space="preserve">Assault rates</w:t>
      </w:r>
      <w:r>
        <w:t xml:space="preserve"> </w:t>
      </w:r>
      <w:r>
        <w:t xml:space="preserve">(per 1,000 population) range from</w:t>
      </w:r>
      <w:r>
        <w:t xml:space="preserve"> </w:t>
      </w:r>
      <w:r>
        <w:rPr>
          <w:b/>
        </w:rPr>
        <w:t xml:space="preserve">0.09-12.36</w:t>
      </w:r>
      <w:r>
        <w:t xml:space="preserve">. Highest rates occur 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(12.36),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(9.76),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(9.38), and</w:t>
      </w:r>
      <w:r>
        <w:t xml:space="preserve"> </w:t>
      </w:r>
      <w:r>
        <w:rPr>
          <w:b/>
        </w:rPr>
        <w:t xml:space="preserve">Gorokan-Kanwal-Charmhaven</w:t>
      </w:r>
      <w:r>
        <w:t xml:space="preserve"> </w:t>
      </w:r>
      <w:r>
        <w:t xml:space="preserve">(5.82). Safest suburbs include</w:t>
      </w:r>
      <w:r>
        <w:t xml:space="preserve"> </w:t>
      </w:r>
      <w:r>
        <w:rPr>
          <w:b/>
        </w:rPr>
        <w:t xml:space="preserve">Avoca Beach-Copacabana</w:t>
      </w:r>
      <w:r>
        <w:t xml:space="preserve"> </w:t>
      </w:r>
      <w:r>
        <w:t xml:space="preserve">(1.06),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(0.94), and</w:t>
      </w:r>
      <w:r>
        <w:t xml:space="preserve"> </w:t>
      </w:r>
      <w:r>
        <w:rPr>
          <w:b/>
        </w:rPr>
        <w:t xml:space="preserve">Saratoga-Davistown</w:t>
      </w:r>
      <w:r>
        <w:t xml:space="preserve"> </w:t>
      </w:r>
      <w:r>
        <w:t xml:space="preserve">(0.42).</w:t>
      </w:r>
    </w:p>
    <w:p>
      <w:pPr>
        <w:pStyle w:val="BodyText"/>
      </w:pPr>
      <w:r>
        <w:rPr>
          <w:b/>
        </w:rPr>
        <w:t xml:space="preserve">Theft rates</w:t>
      </w:r>
      <w:r>
        <w:t xml:space="preserve"> </w:t>
      </w:r>
      <w:r>
        <w:t xml:space="preserve">peak dramatically in retail hub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(83.09 per 1,000), followed by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(42.12),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(39.66), and</w:t>
      </w:r>
      <w:r>
        <w:t xml:space="preserve"> </w:t>
      </w:r>
      <w:r>
        <w:rPr>
          <w:b/>
        </w:rPr>
        <w:t xml:space="preserve">Ourimbah-Fountaindale</w:t>
      </w:r>
      <w:r>
        <w:t xml:space="preserve"> </w:t>
      </w:r>
      <w:r>
        <w:t xml:space="preserve">(33.5). Low-theft areas include</w:t>
      </w:r>
      <w:r>
        <w:t xml:space="preserve"> </w:t>
      </w:r>
      <w:r>
        <w:rPr>
          <w:b/>
        </w:rPr>
        <w:t xml:space="preserve">Lake Munmorah</w:t>
      </w:r>
      <w:r>
        <w:t xml:space="preserve"> </w:t>
      </w:r>
      <w:r>
        <w:t xml:space="preserve">(1.28),</w:t>
      </w:r>
      <w:r>
        <w:t xml:space="preserve"> </w:t>
      </w:r>
      <w:r>
        <w:rPr>
          <w:b/>
        </w:rPr>
        <w:t xml:space="preserve">Saratoga-Davistown</w:t>
      </w:r>
      <w:r>
        <w:t xml:space="preserve"> </w:t>
      </w:r>
      <w:r>
        <w:t xml:space="preserve">(3.35),</w:t>
      </w:r>
      <w:r>
        <w:t xml:space="preserve"> </w:t>
      </w:r>
      <w:r>
        <w:rPr>
          <w:b/>
        </w:rPr>
        <w:t xml:space="preserve">Box Head-MacMasters Beach</w:t>
      </w:r>
      <w:r>
        <w:t xml:space="preserve"> </w:t>
      </w:r>
      <w:r>
        <w:t xml:space="preserve">(4.98).</w:t>
      </w:r>
    </w:p>
    <w:p>
      <w:pPr>
        <w:pStyle w:val="BodyText"/>
      </w:pPr>
      <w:r>
        <w:rPr>
          <w:b/>
        </w:rPr>
        <w:t xml:space="preserve">Drug offences</w:t>
      </w:r>
      <w:r>
        <w:t xml:space="preserve"> </w:t>
      </w:r>
      <w:r>
        <w:t xml:space="preserve">concentrate in</w:t>
      </w:r>
      <w:r>
        <w:t xml:space="preserve"> </w:t>
      </w:r>
      <w:r>
        <w:rPr>
          <w:b/>
        </w:rPr>
        <w:t xml:space="preserve">Wyong</w:t>
      </w:r>
      <w:r>
        <w:t xml:space="preserve"> </w:t>
      </w:r>
      <w:r>
        <w:t xml:space="preserve">(16.41),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(12.87),</w:t>
      </w:r>
      <w:r>
        <w:t xml:space="preserve"> </w:t>
      </w:r>
      <w:r>
        <w:rPr>
          <w:b/>
        </w:rPr>
        <w:t xml:space="preserve">Tuggerah-Kangy Angy</w:t>
      </w:r>
      <w:r>
        <w:t xml:space="preserve"> </w:t>
      </w:r>
      <w:r>
        <w:t xml:space="preserve">(6.32), and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(4.54). Coastal premium suburbs report minimal drug crime:</w:t>
      </w:r>
      <w:r>
        <w:t xml:space="preserve"> </w:t>
      </w:r>
      <w:r>
        <w:rPr>
          <w:b/>
        </w:rPr>
        <w:t xml:space="preserve">Avoca Beach</w:t>
      </w:r>
      <w:r>
        <w:t xml:space="preserve"> </w:t>
      </w:r>
      <w:r>
        <w:t xml:space="preserve">(0.27),</w:t>
      </w:r>
      <w:r>
        <w:t xml:space="preserve"> </w:t>
      </w:r>
      <w:r>
        <w:rPr>
          <w:b/>
        </w:rPr>
        <w:t xml:space="preserve">Saratoga-Davistown</w:t>
      </w:r>
      <w:r>
        <w:t xml:space="preserve"> </w:t>
      </w:r>
      <w:r>
        <w:t xml:space="preserve">(0.14).</w:t>
      </w:r>
    </w:p>
    <w:p>
      <w:pPr>
        <w:pStyle w:val="BodyText"/>
      </w:pPr>
      <w:r>
        <w:rPr>
          <w:b/>
        </w:rPr>
        <w:t xml:space="preserve">Intimidation/stalking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malicious damage</w:t>
      </w:r>
      <w:r>
        <w:t xml:space="preserve"> </w:t>
      </w:r>
      <w:r>
        <w:t xml:space="preserve">follow similar patterns, with Wyong SA3 suburbs recording 2-3x the rates of Gosford premium areas.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tourism-visitor-economy"/>
      <w:r>
        <w:t xml:space="preserve">6. Tourism &amp; Visitor Economy</w:t>
      </w:r>
      <w:bookmarkEnd w:id="27"/>
    </w:p>
    <w:p>
      <w:pPr>
        <w:pStyle w:val="FirstParagraph"/>
      </w:pPr>
      <w:r>
        <w:t xml:space="preserve">The Central Coast’s tourism sector remains underdeveloped relative to its coastal assets.</w:t>
      </w:r>
      <w:r>
        <w:t xml:space="preserve"> </w:t>
      </w:r>
      <w:r>
        <w:rPr>
          <w:b/>
        </w:rPr>
        <w:t xml:space="preserve">Total visitor spend</w:t>
      </w:r>
      <w:r>
        <w:t xml:space="preserve"> </w:t>
      </w:r>
      <w:r>
        <w:t xml:space="preserve">across the dataset is</w:t>
      </w:r>
      <w:r>
        <w:t xml:space="preserve"> </w:t>
      </w:r>
      <w:r>
        <w:rPr>
          <w:b/>
        </w:rPr>
        <w:t xml:space="preserve">$58.3 million</w:t>
      </w:r>
      <w:r>
        <w:t xml:space="preserve"> </w:t>
      </w:r>
      <w:r>
        <w:t xml:space="preserve">versus</w:t>
      </w:r>
      <w:r>
        <w:t xml:space="preserve"> </w:t>
      </w:r>
      <w:r>
        <w:rPr>
          <w:b/>
        </w:rPr>
        <w:t xml:space="preserve">resident spend</w:t>
      </w:r>
      <w:r>
        <w:t xml:space="preserve"> </w:t>
      </w:r>
      <w:r>
        <w:t xml:space="preserve">of</w:t>
      </w:r>
      <w:r>
        <w:t xml:space="preserve"> </w:t>
      </w:r>
      <w:r>
        <w:rPr>
          <w:b/>
        </w:rPr>
        <w:t xml:space="preserve">$444.7 million</w:t>
      </w:r>
      <w:r>
        <w:t xml:space="preserve">—visitors contribute just</w:t>
      </w:r>
      <w:r>
        <w:t xml:space="preserve"> </w:t>
      </w:r>
      <w:r>
        <w:rPr>
          <w:b/>
        </w:rPr>
        <w:t xml:space="preserve">13%</w:t>
      </w:r>
      <w:r>
        <w:t xml:space="preserve"> </w:t>
      </w:r>
      <w:r>
        <w:t xml:space="preserve">of economic activity.</w:t>
      </w:r>
    </w:p>
    <w:p>
      <w:pPr>
        <w:pStyle w:val="BodyText"/>
      </w:pPr>
      <w:r>
        <w:rPr>
          <w:b/>
        </w:rPr>
        <w:t xml:space="preserve">Tuggerah-Kangy Angy</w:t>
      </w:r>
      <w:r>
        <w:t xml:space="preserve"> </w:t>
      </w:r>
      <w:r>
        <w:t xml:space="preserve">(Westfield shopping precinct) dominates visitor spend at</w:t>
      </w:r>
      <w:r>
        <w:t xml:space="preserve"> </w:t>
      </w:r>
      <w:r>
        <w:rPr>
          <w:b/>
        </w:rPr>
        <w:t xml:space="preserve">$10.3 million</w:t>
      </w:r>
      <w:r>
        <w:t xml:space="preserve">, followed by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($7.0M) and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($2.7M). Tourism businesses total</w:t>
      </w:r>
      <w:r>
        <w:t xml:space="preserve"> </w:t>
      </w:r>
      <w:r>
        <w:rPr>
          <w:b/>
        </w:rPr>
        <w:t xml:space="preserve">1,060</w:t>
      </w:r>
      <w:r>
        <w:t xml:space="preserve">, concentrated in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(94),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(93),</w:t>
      </w:r>
      <w:r>
        <w:t xml:space="preserve"> </w:t>
      </w:r>
      <w:r>
        <w:rPr>
          <w:b/>
        </w:rPr>
        <w:t xml:space="preserve">Gosford-Springfield</w:t>
      </w:r>
      <w:r>
        <w:t xml:space="preserve"> </w:t>
      </w:r>
      <w:r>
        <w:t xml:space="preserve">(120).</w:t>
      </w:r>
    </w:p>
    <w:p>
      <w:pPr>
        <w:pStyle w:val="BodyText"/>
      </w:pPr>
      <w:r>
        <w:rPr>
          <w:b/>
        </w:rPr>
        <w:t xml:space="preserve">Airbnb activity</w:t>
      </w:r>
      <w:r>
        <w:t xml:space="preserve"> </w:t>
      </w:r>
      <w:r>
        <w:t xml:space="preserve">(proxied by listing visits per property) shows high demand in</w:t>
      </w:r>
      <w:r>
        <w:t xml:space="preserve"> </w:t>
      </w:r>
      <w:r>
        <w:rPr>
          <w:b/>
        </w:rPr>
        <w:t xml:space="preserve">Wamberal-Forresters Beach</w:t>
      </w:r>
      <w:r>
        <w:t xml:space="preserve"> </w:t>
      </w:r>
      <w:r>
        <w:t xml:space="preserve">(2,198 visits/property),</w:t>
      </w:r>
      <w:r>
        <w:t xml:space="preserve"> </w:t>
      </w:r>
      <w:r>
        <w:rPr>
          <w:b/>
        </w:rPr>
        <w:t xml:space="preserve">Terrigal-North Avoca</w:t>
      </w:r>
      <w:r>
        <w:t xml:space="preserve"> </w:t>
      </w:r>
      <w:r>
        <w:t xml:space="preserve">(2,258), and</w:t>
      </w:r>
      <w:r>
        <w:t xml:space="preserve"> </w:t>
      </w:r>
      <w:r>
        <w:rPr>
          <w:b/>
        </w:rPr>
        <w:t xml:space="preserve">Wyoming</w:t>
      </w:r>
      <w:r>
        <w:t xml:space="preserve"> </w:t>
      </w:r>
      <w:r>
        <w:t xml:space="preserve">(2,274). Properties in</w:t>
      </w:r>
      <w:r>
        <w:t xml:space="preserve"> </w:t>
      </w:r>
      <w:r>
        <w:rPr>
          <w:b/>
        </w:rPr>
        <w:t xml:space="preserve">The Entrance</w:t>
      </w:r>
      <w:r>
        <w:t xml:space="preserve"> </w:t>
      </w:r>
      <w:r>
        <w:t xml:space="preserve">(719),</w:t>
      </w:r>
      <w:r>
        <w:t xml:space="preserve"> </w:t>
      </w:r>
      <w:r>
        <w:rPr>
          <w:b/>
        </w:rPr>
        <w:t xml:space="preserve">Toukley-Norah Head</w:t>
      </w:r>
      <w:r>
        <w:t xml:space="preserve"> </w:t>
      </w:r>
      <w:r>
        <w:t xml:space="preserve">(712.5), and</w:t>
      </w:r>
      <w:r>
        <w:t xml:space="preserve"> </w:t>
      </w:r>
      <w:r>
        <w:rPr>
          <w:b/>
        </w:rPr>
        <w:t xml:space="preserve">Box Head-MacMasters Beach</w:t>
      </w:r>
      <w:r>
        <w:t xml:space="preserve"> </w:t>
      </w:r>
      <w:r>
        <w:t xml:space="preserve">(580) see moderate activity.</w:t>
      </w:r>
    </w:p>
    <w:p>
      <w:pPr>
        <w:pStyle w:val="BodyText"/>
      </w:pPr>
      <w:r>
        <w:t xml:space="preserve">The visitor economy underperforms expectations given the region’s beaches, national parks, and proximity to Sydney. Most SA2s show visitor:resident spend ratios of 10-25%, suggesting untapped potential in accommodation, dining, and attractions development.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gional-divide-gosford-vs-wyong"/>
      <w:r>
        <w:t xml:space="preserve">7. Regional Divide: Gosford vs Wyong</w:t>
      </w:r>
      <w:bookmarkEnd w:id="28"/>
    </w:p>
    <w:p>
      <w:pPr>
        <w:pStyle w:val="FirstParagraph"/>
      </w:pPr>
      <w:r>
        <w:t xml:space="preserve">The Central Coast exhibits a profound socioeconomic divide between its two SA3 regions: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Gosford SA3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Wyong SA3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Differential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Unemployment Rate</w:t>
            </w:r>
          </w:p>
        </w:tc>
        <w:tc>
          <w:p>
            <w:pPr>
              <w:pStyle w:val="Compact"/>
              <w:jc w:val="left"/>
            </w:pPr>
            <w:r>
              <w:t xml:space="preserve">2.4%</w:t>
            </w:r>
          </w:p>
        </w:tc>
        <w:tc>
          <w:p>
            <w:pPr>
              <w:pStyle w:val="Compact"/>
              <w:jc w:val="left"/>
            </w:pPr>
            <w:r>
              <w:t xml:space="preserve">4.5%</w:t>
            </w:r>
          </w:p>
        </w:tc>
        <w:tc>
          <w:p>
            <w:pPr>
              <w:pStyle w:val="Compact"/>
              <w:jc w:val="left"/>
            </w:pPr>
            <w:r>
              <w:t xml:space="preserve">+88%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Median Income</w:t>
            </w:r>
          </w:p>
        </w:tc>
        <w:tc>
          <w:p>
            <w:pPr>
              <w:pStyle w:val="Compact"/>
              <w:jc w:val="left"/>
            </w:pPr>
            <w:r>
              <w:t xml:space="preserve">$1,350/week</w:t>
            </w:r>
          </w:p>
        </w:tc>
        <w:tc>
          <w:p>
            <w:pPr>
              <w:pStyle w:val="Compact"/>
              <w:jc w:val="left"/>
            </w:pPr>
            <w:r>
              <w:t xml:space="preserve">$1,220/week</w:t>
            </w:r>
          </w:p>
        </w:tc>
        <w:tc>
          <w:p>
            <w:pPr>
              <w:pStyle w:val="Compact"/>
              <w:jc w:val="left"/>
            </w:pPr>
            <w:r>
              <w:t xml:space="preserve">-10%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House Price</w:t>
            </w:r>
          </w:p>
        </w:tc>
        <w:tc>
          <w:p>
            <w:pPr>
              <w:pStyle w:val="Compact"/>
              <w:jc w:val="left"/>
            </w:pPr>
            <w:r>
              <w:t xml:space="preserve">$1,305,000</w:t>
            </w:r>
          </w:p>
        </w:tc>
        <w:tc>
          <w:p>
            <w:pPr>
              <w:pStyle w:val="Compact"/>
              <w:jc w:val="left"/>
            </w:pPr>
            <w:r>
              <w:t xml:space="preserve">$945,000</w:t>
            </w:r>
          </w:p>
        </w:tc>
        <w:tc>
          <w:p>
            <w:pPr>
              <w:pStyle w:val="Compact"/>
              <w:jc w:val="left"/>
            </w:pPr>
            <w:r>
              <w:t xml:space="preserve">-28%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SEIFA Advantage Index</w:t>
            </w:r>
          </w:p>
        </w:tc>
        <w:tc>
          <w:p>
            <w:pPr>
              <w:pStyle w:val="Compact"/>
              <w:jc w:val="left"/>
            </w:pPr>
            <w:r>
              <w:t xml:space="preserve">1,011</w:t>
            </w:r>
          </w:p>
        </w:tc>
        <w:tc>
          <w:p>
            <w:pPr>
              <w:pStyle w:val="Compact"/>
              <w:jc w:val="left"/>
            </w:pPr>
            <w:r>
              <w:t xml:space="preserve">942</w:t>
            </w:r>
          </w:p>
        </w:tc>
        <w:tc>
          <w:p>
            <w:pPr>
              <w:pStyle w:val="Compact"/>
              <w:jc w:val="left"/>
            </w:pPr>
            <w:r>
              <w:t xml:space="preserve">-7%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Year 12 Completion</w:t>
            </w:r>
          </w:p>
        </w:tc>
        <w:tc>
          <w:p>
            <w:pPr>
              <w:pStyle w:val="Compact"/>
              <w:jc w:val="left"/>
            </w:pPr>
            <w:r>
              <w:t xml:space="preserve">37.2%</w:t>
            </w:r>
          </w:p>
        </w:tc>
        <w:tc>
          <w:p>
            <w:pPr>
              <w:pStyle w:val="Compact"/>
              <w:jc w:val="left"/>
            </w:pPr>
            <w:r>
              <w:t xml:space="preserve">27.8%</w:t>
            </w:r>
          </w:p>
        </w:tc>
        <w:tc>
          <w:p>
            <w:pPr>
              <w:pStyle w:val="Compact"/>
              <w:jc w:val="left"/>
            </w:pPr>
            <w:r>
              <w:t xml:space="preserve">-25%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Bachelor Degree</w:t>
            </w:r>
          </w:p>
        </w:tc>
        <w:tc>
          <w:p>
            <w:pPr>
              <w:pStyle w:val="Compact"/>
              <w:jc w:val="left"/>
            </w:pPr>
            <w:r>
              <w:t xml:space="preserve">10.2%</w:t>
            </w:r>
          </w:p>
        </w:tc>
        <w:tc>
          <w:p>
            <w:pPr>
              <w:pStyle w:val="Compact"/>
              <w:jc w:val="left"/>
            </w:pPr>
            <w:r>
              <w:t xml:space="preserve">6.5%</w:t>
            </w:r>
          </w:p>
        </w:tc>
        <w:tc>
          <w:p>
            <w:pPr>
              <w:pStyle w:val="Compact"/>
              <w:jc w:val="left"/>
            </w:pPr>
            <w:r>
              <w:t xml:space="preserve">-36%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Assault Rate</w:t>
            </w:r>
          </w:p>
        </w:tc>
        <w:tc>
          <w:p>
            <w:pPr>
              <w:pStyle w:val="Compact"/>
              <w:jc w:val="left"/>
            </w:pPr>
            <w:r>
              <w:t xml:space="preserve">3.1 per 1,000</w:t>
            </w:r>
          </w:p>
        </w:tc>
        <w:tc>
          <w:p>
            <w:pPr>
              <w:pStyle w:val="Compact"/>
              <w:jc w:val="left"/>
            </w:pPr>
            <w:r>
              <w:t xml:space="preserve">5.3 per 1,000</w:t>
            </w:r>
          </w:p>
        </w:tc>
        <w:tc>
          <w:p>
            <w:pPr>
              <w:pStyle w:val="Compact"/>
              <w:jc w:val="left"/>
            </w:pPr>
            <w:r>
              <w:t xml:space="preserve">+71%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Avg. Theft Rate</w:t>
            </w:r>
          </w:p>
        </w:tc>
        <w:tc>
          <w:p>
            <w:pPr>
              <w:pStyle w:val="Compact"/>
              <w:jc w:val="left"/>
            </w:pPr>
            <w:r>
              <w:t xml:space="preserve">16.2 per 1,000</w:t>
            </w:r>
          </w:p>
        </w:tc>
        <w:tc>
          <w:p>
            <w:pPr>
              <w:pStyle w:val="Compact"/>
              <w:jc w:val="left"/>
            </w:pPr>
            <w:r>
              <w:t xml:space="preserve">24.8 per 1,000</w:t>
            </w:r>
          </w:p>
        </w:tc>
        <w:tc>
          <w:p>
            <w:pPr>
              <w:pStyle w:val="Compact"/>
              <w:jc w:val="left"/>
            </w:pPr>
            <w:r>
              <w:t xml:space="preserve">+53% in Wyong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Indigenous Population %</w:t>
            </w:r>
          </w:p>
        </w:tc>
        <w:tc>
          <w:p>
            <w:pPr>
              <w:pStyle w:val="Compact"/>
              <w:jc w:val="left"/>
            </w:pPr>
            <w:r>
              <w:t xml:space="preserve">2.8%</w:t>
            </w:r>
          </w:p>
        </w:tc>
        <w:tc>
          <w:p>
            <w:pPr>
              <w:pStyle w:val="Compact"/>
              <w:jc w:val="left"/>
            </w:pPr>
            <w:r>
              <w:t xml:space="preserve">5.0%</w:t>
            </w:r>
          </w:p>
        </w:tc>
        <w:tc>
          <w:p>
            <w:pPr>
              <w:pStyle w:val="Compact"/>
              <w:jc w:val="left"/>
            </w:pPr>
            <w:r>
              <w:t xml:space="preserve">+79% in Wyong</w:t>
            </w:r>
          </w:p>
        </w:tc>
      </w:tr>
    </w:tbl>
    <w:p>
      <w:pPr>
        <w:pStyle w:val="BodyText"/>
      </w:pPr>
      <w:r>
        <w:rPr>
          <w:b/>
        </w:rPr>
        <w:t xml:space="preserve">Gosford</w:t>
      </w:r>
      <w:r>
        <w:t xml:space="preserve"> </w:t>
      </w:r>
      <w:r>
        <w:t xml:space="preserve">comprises affluent coastal suburbs (</w:t>
      </w:r>
      <w:r>
        <w:rPr>
          <w:b/>
        </w:rPr>
        <w:t xml:space="preserve">Terrigal</w:t>
      </w:r>
      <w:r>
        <w:t xml:space="preserve">,</w:t>
      </w:r>
      <w:r>
        <w:t xml:space="preserve"> </w:t>
      </w:r>
      <w:r>
        <w:rPr>
          <w:b/>
        </w:rPr>
        <w:t xml:space="preserve">Avoca Beach</w:t>
      </w:r>
      <w:r>
        <w:t xml:space="preserve">,</w:t>
      </w:r>
      <w:r>
        <w:t xml:space="preserve"> </w:t>
      </w:r>
      <w:r>
        <w:rPr>
          <w:b/>
        </w:rPr>
        <w:t xml:space="preserve">Wamberal</w:t>
      </w:r>
      <w:r>
        <w:t xml:space="preserve">), established middle-class areas (</w:t>
      </w:r>
      <w:r>
        <w:rPr>
          <w:b/>
        </w:rPr>
        <w:t xml:space="preserve">Erina</w:t>
      </w:r>
      <w:r>
        <w:t xml:space="preserve">,</w:t>
      </w:r>
      <w:r>
        <w:t xml:space="preserve"> </w:t>
      </w:r>
      <w:r>
        <w:rPr>
          <w:b/>
        </w:rPr>
        <w:t xml:space="preserve">Narara</w:t>
      </w:r>
      <w:r>
        <w:t xml:space="preserve">,</w:t>
      </w:r>
      <w:r>
        <w:t xml:space="preserve"> </w:t>
      </w:r>
      <w:r>
        <w:rPr>
          <w:b/>
        </w:rPr>
        <w:t xml:space="preserve">Kariong</w:t>
      </w:r>
      <w:r>
        <w:t xml:space="preserve">), and the regional CBD. Its economy centres on professional services, healthcare, retail, and tourism infrastructure. Educational attainment and income levels substantially exceed Wyong.</w:t>
      </w:r>
    </w:p>
    <w:p>
      <w:pPr>
        <w:pStyle w:val="BodyText"/>
      </w:pPr>
      <w:r>
        <w:rPr>
          <w:b/>
        </w:rPr>
        <w:t xml:space="preserve">Wyong</w:t>
      </w:r>
      <w:r>
        <w:t xml:space="preserve"> </w:t>
      </w:r>
      <w:r>
        <w:t xml:space="preserve">encompasses socioeconomically disadvantaged communities, particularly western lake suburbs (</w:t>
      </w:r>
      <w:r>
        <w:rPr>
          <w:b/>
        </w:rPr>
        <w:t xml:space="preserve">Gorokan</w:t>
      </w:r>
      <w:r>
        <w:t xml:space="preserve">,</w:t>
      </w:r>
      <w:r>
        <w:t xml:space="preserve"> </w:t>
      </w:r>
      <w:r>
        <w:rPr>
          <w:b/>
        </w:rPr>
        <w:t xml:space="preserve">Blue Haven</w:t>
      </w:r>
      <w:r>
        <w:t xml:space="preserve">,</w:t>
      </w:r>
      <w:r>
        <w:t xml:space="preserve"> </w:t>
      </w:r>
      <w:r>
        <w:rPr>
          <w:b/>
        </w:rPr>
        <w:t xml:space="preserve">Budgewoi</w:t>
      </w:r>
      <w:r>
        <w:t xml:space="preserve">). It faces elevated unemployment, welfare dependency, crime, and indigenous disadvantage. However, growth suburbs like</w:t>
      </w:r>
      <w:r>
        <w:t xml:space="preserve"> </w:t>
      </w:r>
      <w:r>
        <w:rPr>
          <w:b/>
        </w:rPr>
        <w:t xml:space="preserve">Warnervale-Wadalba</w:t>
      </w:r>
      <w:r>
        <w:t xml:space="preserve"> </w:t>
      </w:r>
      <w:r>
        <w:t xml:space="preserve">show emerging middle-class characteristics, and lakeside retirement areas (</w:t>
      </w:r>
      <w:r>
        <w:rPr>
          <w:b/>
        </w:rPr>
        <w:t xml:space="preserve">Lake Munmorah</w:t>
      </w:r>
      <w:r>
        <w:t xml:space="preserve">,</w:t>
      </w:r>
      <w:r>
        <w:t xml:space="preserve"> </w:t>
      </w:r>
      <w:r>
        <w:rPr>
          <w:b/>
        </w:rPr>
        <w:t xml:space="preserve">Toukley</w:t>
      </w:r>
      <w:r>
        <w:t xml:space="preserve">) differ from distressed western suburbs.</w:t>
      </w:r>
    </w:p>
    <w:p>
      <w:pPr>
        <w:pStyle w:val="BodyText"/>
      </w:pPr>
      <w:r>
        <w:t xml:space="preserve">This divide manifests spatially: coastal east (Gosford-dominated) versus inland west/north (Wyong-dominated), with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2026-08-07T07:23:52Z</dcterms:created>
  <dcterms:modified xsi:type="dcterms:W3CDTF">2026-08-07T07:23:52Z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