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entral-coast-sa2-intelligence-report"/>
      <w:r>
        <w:t xml:space="preserve">Central Coast SA2 Intelligence Report</w:t>
      </w:r>
      <w:bookmarkEnd w:id="20"/>
    </w:p>
    <w:p>
      <w:pPr>
        <w:pStyle w:val="FirstParagraph"/>
      </w:pPr>
      <w:r>
        <w:rPr>
          <w:b/>
        </w:rPr>
        <w:t xml:space="preserve">Prepared: August 2026 | Indicators: June 2026 | Data Coverage: 30 SA2 areas, Central Coast LGA (NSW)</w:t>
      </w:r>
    </w:p>
    <w:p>
      <w:pPr>
        <w:pStyle w:val="Heading2"/>
      </w:pPr>
      <w:bookmarkStart w:id="21" w:name="executive-summary"/>
      <w:r>
        <w:t xml:space="preserve">Executive Summary</w:t>
      </w:r>
      <w:bookmarkEnd w:id="21"/>
    </w:p>
    <w:p>
      <w:pPr>
        <w:pStyle w:val="FirstParagraph"/>
      </w:pPr>
      <w:r>
        <w:t xml:space="preserve">The Central Coast LGA encompasses a diverse region of</w:t>
      </w:r>
      <w:r>
        <w:t xml:space="preserve"> </w:t>
      </w:r>
      <w:r>
        <w:rPr>
          <w:b/>
        </w:rPr>
        <w:t xml:space="preserve">389,551 residents</w:t>
      </w:r>
      <w:r>
        <w:t xml:space="preserve"> </w:t>
      </w:r>
      <w:r>
        <w:t xml:space="preserve">across 30 SA2 areas, split between the</w:t>
      </w:r>
      <w:r>
        <w:t xml:space="preserve"> </w:t>
      </w:r>
      <w:r>
        <w:rPr>
          <w:b/>
        </w:rPr>
        <w:t xml:space="preserve">Gosford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SA3 regions. The region experiences moderate population growth (+2,947 or 0.76% in 2023-24), driven primarily by overseas migration, while facing significant socioeconomic challenges alongside pockets of affluence.</w:t>
      </w:r>
    </w:p>
    <w:p>
      <w:pPr>
        <w:pStyle w:val="BodyText"/>
      </w:pPr>
      <w:r>
        <w:rPr>
          <w:b/>
        </w:rPr>
        <w:t xml:space="preserve">Key Findings: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Stark socioeconomic divide</w:t>
      </w:r>
      <w:r>
        <w:t xml:space="preserve">: Coastal suburbs like</w:t>
      </w:r>
      <w:r>
        <w:t xml:space="preserve"> </w:t>
      </w:r>
      <w:r>
        <w:rPr>
          <w:b/>
        </w:rPr>
        <w:t xml:space="preserve">Avoca Beach-Copacabana</w:t>
      </w:r>
      <w:r>
        <w:t xml:space="preserve"> </w:t>
      </w:r>
      <w:r>
        <w:t xml:space="preserve">(SEIFA Advantage 1084.48, median income $1,869/week) contrast sharply with inland areas like</w:t>
      </w:r>
      <w:r>
        <w:t xml:space="preserve"> </w:t>
      </w:r>
      <w:r>
        <w:rPr>
          <w:b/>
        </w:rPr>
        <w:t xml:space="preserve">Blue Haven-San Remo</w:t>
      </w:r>
      <w:r>
        <w:t xml:space="preserve"> </w:t>
      </w:r>
      <w:r>
        <w:t xml:space="preserve">(SEIFA 886.3, income $1,250/week)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Housing affordability crisis</w:t>
      </w:r>
      <w:r>
        <w:t xml:space="preserve">: Median house prices range from</w:t>
      </w:r>
      <w:r>
        <w:t xml:space="preserve"> </w:t>
      </w:r>
      <w:r>
        <w:rPr>
          <w:b/>
        </w:rPr>
        <w:t xml:space="preserve">$800,000</w:t>
      </w:r>
      <w:r>
        <w:t xml:space="preserve"> </w:t>
      </w:r>
      <w:r>
        <w:t xml:space="preserve">(</w:t>
      </w:r>
      <w:r>
        <w:rPr>
          <w:b/>
        </w:rPr>
        <w:t xml:space="preserve">Tuggerah-Kangy Angy</w:t>
      </w:r>
      <w:r>
        <w:t xml:space="preserve">) to</w:t>
      </w:r>
      <w:r>
        <w:t xml:space="preserve"> </w:t>
      </w:r>
      <w:r>
        <w:rPr>
          <w:b/>
        </w:rPr>
        <w:t xml:space="preserve">$1,964,000</w:t>
      </w:r>
      <w:r>
        <w:t xml:space="preserve"> </w:t>
      </w:r>
      <w:r>
        <w:t xml:space="preserve">(</w:t>
      </w:r>
      <w:r>
        <w:rPr>
          <w:b/>
        </w:rPr>
        <w:t xml:space="preserve">Erina-Green Point</w:t>
      </w:r>
      <w:r>
        <w:t xml:space="preserve">), creating severe price-to-income pressure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Employment challenges</w:t>
      </w:r>
      <w:r>
        <w:t xml:space="preserve">: Regional unemployment rate averages 3.2%, but reaches</w:t>
      </w:r>
      <w:r>
        <w:t xml:space="preserve"> </w:t>
      </w:r>
      <w:r>
        <w:rPr>
          <w:b/>
        </w:rPr>
        <w:t xml:space="preserve">8.1%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5.8%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Gorokan-Kanwal-Charmhaven</w:t>
      </w:r>
      <w:r>
        <w:t xml:space="preserve">, with 15,500+ JobSeeker recipients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Growing communities</w:t>
      </w:r>
      <w:r>
        <w:t xml:space="preserve">:</w:t>
      </w:r>
      <w:r>
        <w:t xml:space="preserve"> </w:t>
      </w:r>
      <w:r>
        <w:rPr>
          <w:b/>
        </w:rPr>
        <w:t xml:space="preserve">Warnervale-Wadalba</w:t>
      </w:r>
      <w:r>
        <w:t xml:space="preserve"> </w:t>
      </w:r>
      <w:r>
        <w:t xml:space="preserve">leads growth (+650 residents), attracting families with younger demographics (31.45% under 20)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Crime concentration</w:t>
      </w:r>
      <w:r>
        <w:t xml:space="preserve">: Assault rates vary dramatically from</w:t>
      </w:r>
      <w:r>
        <w:t xml:space="preserve"> </w:t>
      </w:r>
      <w:r>
        <w:rPr>
          <w:b/>
        </w:rPr>
        <w:t xml:space="preserve">0.09 per 1,000</w:t>
      </w:r>
      <w:r>
        <w:t xml:space="preserve"> </w:t>
      </w:r>
      <w:r>
        <w:t xml:space="preserve">(</w:t>
      </w:r>
      <w:r>
        <w:rPr>
          <w:b/>
        </w:rPr>
        <w:t xml:space="preserve">Lake Munmorah-Mannering Park</w:t>
      </w:r>
      <w:r>
        <w:t xml:space="preserve">) to</w:t>
      </w:r>
      <w:r>
        <w:t xml:space="preserve"> </w:t>
      </w:r>
      <w:r>
        <w:rPr>
          <w:b/>
        </w:rPr>
        <w:t xml:space="preserve">12.36</w:t>
      </w:r>
      <w:r>
        <w:t xml:space="preserve"> </w:t>
      </w:r>
      <w:r>
        <w:t xml:space="preserve">(</w:t>
      </w:r>
      <w:r>
        <w:rPr>
          <w:b/>
        </w:rPr>
        <w:t xml:space="preserve">Wyong</w:t>
      </w:r>
      <w:r>
        <w:t xml:space="preserve">), with theft peaking at</w:t>
      </w:r>
      <w:r>
        <w:t xml:space="preserve"> </w:t>
      </w:r>
      <w:r>
        <w:rPr>
          <w:b/>
        </w:rPr>
        <w:t xml:space="preserve">83.09</w:t>
      </w:r>
      <w:r>
        <w:t xml:space="preserve"> </w:t>
      </w:r>
      <w:r>
        <w:t xml:space="preserve">in retail hub</w:t>
      </w:r>
      <w:r>
        <w:t xml:space="preserve"> </w:t>
      </w:r>
      <w:r>
        <w:rPr>
          <w:b/>
        </w:rPr>
        <w:t xml:space="preserve">Tuggerah-Kangy Angy</w:t>
      </w:r>
    </w:p>
    <w:p>
      <w:pPr>
        <w:pStyle w:val="Heading2"/>
      </w:pPr>
      <w:bookmarkStart w:id="22" w:name="population-demographics"/>
      <w:r>
        <w:t xml:space="preserve">1. Population &amp; Demographics</w:t>
      </w:r>
      <w:bookmarkEnd w:id="22"/>
    </w:p>
    <w:p>
      <w:pPr>
        <w:pStyle w:val="FirstParagraph"/>
      </w:pPr>
      <w:r>
        <w:t xml:space="preserve">The Central Coast’s population reached</w:t>
      </w:r>
      <w:r>
        <w:t xml:space="preserve"> </w:t>
      </w:r>
      <w:r>
        <w:rPr>
          <w:b/>
        </w:rPr>
        <w:t xml:space="preserve">389,551</w:t>
      </w:r>
      <w:r>
        <w:t xml:space="preserve"> </w:t>
      </w:r>
      <w:r>
        <w:t xml:space="preserve">in 2024, increasing by</w:t>
      </w:r>
      <w:r>
        <w:t xml:space="preserve"> </w:t>
      </w:r>
      <w:r>
        <w:rPr>
          <w:b/>
        </w:rPr>
        <w:t xml:space="preserve">2,947 residents</w:t>
      </w:r>
      <w:r>
        <w:t xml:space="preserve"> </w:t>
      </w:r>
      <w:r>
        <w:t xml:space="preserve">(0.76%) from 2023. Growth is unevenly distributed:</w:t>
      </w:r>
      <w:r>
        <w:t xml:space="preserve"> </w:t>
      </w:r>
      <w:r>
        <w:rPr>
          <w:b/>
        </w:rPr>
        <w:t xml:space="preserve">Warnervale-Wadalba</w:t>
      </w:r>
      <w:r>
        <w:t xml:space="preserve"> </w:t>
      </w:r>
      <w:r>
        <w:t xml:space="preserve">(+650),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(+516), and</w:t>
      </w:r>
      <w:r>
        <w:t xml:space="preserve"> </w:t>
      </w:r>
      <w:r>
        <w:rPr>
          <w:b/>
        </w:rPr>
        <w:t xml:space="preserve">Terrigal-North Avoca</w:t>
      </w:r>
      <w:r>
        <w:t xml:space="preserve"> </w:t>
      </w:r>
      <w:r>
        <w:t xml:space="preserve">(+207) dominate gains, while</w:t>
      </w:r>
      <w:r>
        <w:t xml:space="preserve"> </w:t>
      </w:r>
      <w:r>
        <w:rPr>
          <w:b/>
        </w:rPr>
        <w:t xml:space="preserve">Toukley-Norah Head</w:t>
      </w:r>
      <w:r>
        <w:t xml:space="preserve"> </w:t>
      </w:r>
      <w:r>
        <w:t xml:space="preserve">(-19) and</w:t>
      </w:r>
      <w:r>
        <w:t xml:space="preserve"> </w:t>
      </w:r>
      <w:r>
        <w:rPr>
          <w:b/>
        </w:rPr>
        <w:t xml:space="preserve">Lake Munmorah-Mannering Park</w:t>
      </w:r>
      <w:r>
        <w:t xml:space="preserve"> </w:t>
      </w:r>
      <w:r>
        <w:t xml:space="preserve">(-27) declined.</w:t>
      </w:r>
    </w:p>
    <w:p>
      <w:pPr>
        <w:pStyle w:val="BodyText"/>
      </w:pPr>
      <w:r>
        <w:rPr>
          <w:b/>
        </w:rPr>
        <w:t xml:space="preserve">Overseas migration</w:t>
      </w:r>
      <w:r>
        <w:t xml:space="preserve"> </w:t>
      </w:r>
      <w:r>
        <w:t xml:space="preserve">(+2,829) drives growth, offsetting</w:t>
      </w:r>
      <w:r>
        <w:t xml:space="preserve"> </w:t>
      </w:r>
      <w:r>
        <w:rPr>
          <w:b/>
        </w:rPr>
        <w:t xml:space="preserve">net internal migration losses</w:t>
      </w:r>
      <w:r>
        <w:t xml:space="preserve"> </w:t>
      </w:r>
      <w:r>
        <w:t xml:space="preserve">(-277) as residents leave for other Australian regions. Natural increase contributes modestly (+395), though several SA2s experience natural decline, notably</w:t>
      </w:r>
      <w:r>
        <w:t xml:space="preserve"> </w:t>
      </w:r>
      <w:r>
        <w:rPr>
          <w:b/>
        </w:rPr>
        <w:t xml:space="preserve">Erina-Green Point</w:t>
      </w:r>
      <w:r>
        <w:t xml:space="preserve"> </w:t>
      </w:r>
      <w:r>
        <w:t xml:space="preserve">(-186) and</w:t>
      </w:r>
      <w:r>
        <w:t xml:space="preserve"> </w:t>
      </w:r>
      <w:r>
        <w:rPr>
          <w:b/>
        </w:rPr>
        <w:t xml:space="preserve">Toukley-Norah Head</w:t>
      </w:r>
      <w:r>
        <w:t xml:space="preserve"> </w:t>
      </w:r>
      <w:r>
        <w:t xml:space="preserve">(-111), reflecting aging populations.</w:t>
      </w:r>
    </w:p>
    <w:p>
      <w:pPr>
        <w:pStyle w:val="BodyText"/>
      </w:pPr>
      <w:r>
        <w:t xml:space="preserve">The regional</w:t>
      </w:r>
      <w:r>
        <w:t xml:space="preserve"> </w:t>
      </w:r>
      <w:r>
        <w:rPr>
          <w:b/>
        </w:rPr>
        <w:t xml:space="preserve">median age</w:t>
      </w:r>
      <w:r>
        <w:t xml:space="preserve"> </w:t>
      </w:r>
      <w:r>
        <w:t xml:space="preserve">is 42 years, ranging from 34 (</w:t>
      </w:r>
      <w:r>
        <w:rPr>
          <w:b/>
        </w:rPr>
        <w:t xml:space="preserve">Blue Haven-San Remo</w:t>
      </w:r>
      <w:r>
        <w:t xml:space="preserve">) to 49 (</w:t>
      </w:r>
      <w:r>
        <w:rPr>
          <w:b/>
        </w:rPr>
        <w:t xml:space="preserve">Lake Munmorah-Mannering Park</w:t>
      </w:r>
      <w:r>
        <w:t xml:space="preserve">,</w:t>
      </w:r>
      <w:r>
        <w:t xml:space="preserve"> </w:t>
      </w:r>
      <w:r>
        <w:rPr>
          <w:b/>
        </w:rPr>
        <w:t xml:space="preserve">Erina-Green Point</w:t>
      </w:r>
      <w:r>
        <w:t xml:space="preserve">). Youth populations (under 20) are highest in</w:t>
      </w:r>
      <w:r>
        <w:t xml:space="preserve"> </w:t>
      </w:r>
      <w:r>
        <w:rPr>
          <w:b/>
        </w:rPr>
        <w:t xml:space="preserve">Warnervale-Wadalba</w:t>
      </w:r>
      <w:r>
        <w:t xml:space="preserve"> </w:t>
      </w:r>
      <w:r>
        <w:t xml:space="preserve">(31.45%) and</w:t>
      </w:r>
      <w:r>
        <w:t xml:space="preserve"> </w:t>
      </w:r>
      <w:r>
        <w:rPr>
          <w:b/>
        </w:rPr>
        <w:t xml:space="preserve">Blue Haven-San Remo</w:t>
      </w:r>
      <w:r>
        <w:t xml:space="preserve"> </w:t>
      </w:r>
      <w:r>
        <w:t xml:space="preserve">(29.24%), while seniors (over 69) concentrate in</w:t>
      </w:r>
      <w:r>
        <w:t xml:space="preserve"> </w:t>
      </w:r>
      <w:r>
        <w:rPr>
          <w:b/>
        </w:rPr>
        <w:t xml:space="preserve">Erina-Green Point</w:t>
      </w:r>
      <w:r>
        <w:t xml:space="preserve"> </w:t>
      </w:r>
      <w:r>
        <w:t xml:space="preserve">(26.04%) and</w:t>
      </w:r>
      <w:r>
        <w:t xml:space="preserve"> </w:t>
      </w:r>
      <w:r>
        <w:rPr>
          <w:b/>
        </w:rPr>
        <w:t xml:space="preserve">Lake Munmorah-Mannering Park</w:t>
      </w:r>
      <w:r>
        <w:t xml:space="preserve"> </w:t>
      </w:r>
      <w:r>
        <w:t xml:space="preserve">(25.7%).</w:t>
      </w:r>
    </w:p>
    <w:p>
      <w:pPr>
        <w:pStyle w:val="BodyText"/>
      </w:pPr>
      <w:r>
        <w:rPr>
          <w:b/>
        </w:rPr>
        <w:t xml:space="preserve">Cultural diversity</w:t>
      </w:r>
      <w:r>
        <w:t xml:space="preserve"> </w:t>
      </w:r>
      <w:r>
        <w:t xml:space="preserve">varies significantly. Born overseas percentages peak in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(21.21%) and</w:t>
      </w:r>
      <w:r>
        <w:t xml:space="preserve"> </w:t>
      </w:r>
      <w:r>
        <w:rPr>
          <w:b/>
        </w:rPr>
        <w:t xml:space="preserve">Erina-Green Point</w:t>
      </w:r>
      <w:r>
        <w:t xml:space="preserve"> </w:t>
      </w:r>
      <w:r>
        <w:t xml:space="preserve">(19.64%), compared to just 10.38% in</w:t>
      </w:r>
      <w:r>
        <w:t xml:space="preserve"> </w:t>
      </w:r>
      <w:r>
        <w:rPr>
          <w:b/>
        </w:rPr>
        <w:t xml:space="preserve">Budgewoi-Buff Point-Halekulani</w:t>
      </w:r>
      <w:r>
        <w:t xml:space="preserve">. Language diversity follows similar patterns: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(13.21%) versus</w:t>
      </w:r>
      <w:r>
        <w:t xml:space="preserve"> </w:t>
      </w:r>
      <w:r>
        <w:rPr>
          <w:b/>
        </w:rPr>
        <w:t xml:space="preserve">Lake Munmorah-Mannering Park</w:t>
      </w:r>
      <w:r>
        <w:t xml:space="preserve"> </w:t>
      </w:r>
      <w:r>
        <w:t xml:space="preserve">(2.63%).</w:t>
      </w:r>
    </w:p>
    <w:p>
      <w:pPr>
        <w:pStyle w:val="BodyText"/>
      </w:pPr>
      <w:r>
        <w:rPr>
          <w:b/>
        </w:rPr>
        <w:t xml:space="preserve">Indigenous populations</w:t>
      </w:r>
      <w:r>
        <w:t xml:space="preserve"> </w:t>
      </w:r>
      <w:r>
        <w:t xml:space="preserve">total approximately</w:t>
      </w:r>
      <w:r>
        <w:t xml:space="preserve"> </w:t>
      </w:r>
      <w:r>
        <w:rPr>
          <w:b/>
        </w:rPr>
        <w:t xml:space="preserve">13,300</w:t>
      </w:r>
      <w:r>
        <w:t xml:space="preserve"> </w:t>
      </w:r>
      <w:r>
        <w:t xml:space="preserve">(3.4% regionally), with highest concentrations in</w:t>
      </w:r>
      <w:r>
        <w:t xml:space="preserve"> </w:t>
      </w:r>
      <w:r>
        <w:rPr>
          <w:b/>
        </w:rPr>
        <w:t xml:space="preserve">Blue Haven-San Remo</w:t>
      </w:r>
      <w:r>
        <w:t xml:space="preserve"> </w:t>
      </w:r>
      <w:r>
        <w:t xml:space="preserve">(7.78%, 859 people),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(6.61%, 583), and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(5.64%, 1,247). Coastal affluent areas show lowest rates:</w:t>
      </w:r>
      <w:r>
        <w:t xml:space="preserve"> </w:t>
      </w:r>
      <w:r>
        <w:rPr>
          <w:b/>
        </w:rPr>
        <w:t xml:space="preserve">Avoca Beach-Copacabana</w:t>
      </w:r>
      <w:r>
        <w:t xml:space="preserve"> </w:t>
      </w:r>
      <w:r>
        <w:t xml:space="preserve">(1.67%),</w:t>
      </w:r>
      <w:r>
        <w:t xml:space="preserve"> </w:t>
      </w:r>
      <w:r>
        <w:rPr>
          <w:b/>
        </w:rPr>
        <w:t xml:space="preserve">Terrigal-North Avoca</w:t>
      </w:r>
      <w:r>
        <w:t xml:space="preserve"> </w:t>
      </w:r>
      <w:r>
        <w:t xml:space="preserve">(1.59%).</w:t>
      </w:r>
    </w:p>
    <w:p>
      <w:pPr>
        <w:pStyle w:val="BodyText"/>
      </w:pPr>
      <w:r>
        <w:rPr>
          <w:b/>
        </w:rPr>
        <w:t xml:space="preserve">Population density</w:t>
      </w:r>
      <w:r>
        <w:t xml:space="preserve"> </w:t>
      </w:r>
      <w:r>
        <w:t xml:space="preserve">ranges from sparse rural</w:t>
      </w:r>
      <w:r>
        <w:t xml:space="preserve"> </w:t>
      </w:r>
      <w:r>
        <w:rPr>
          <w:b/>
        </w:rPr>
        <w:t xml:space="preserve">Jilliby-Yarramalong</w:t>
      </w:r>
      <w:r>
        <w:t xml:space="preserve"> </w:t>
      </w:r>
      <w:r>
        <w:t xml:space="preserve">(10.3 persons/km²) and</w:t>
      </w:r>
      <w:r>
        <w:t xml:space="preserve"> </w:t>
      </w:r>
      <w:r>
        <w:rPr>
          <w:b/>
        </w:rPr>
        <w:t xml:space="preserve">Calga-Kulnura</w:t>
      </w:r>
      <w:r>
        <w:t xml:space="preserve"> </w:t>
      </w:r>
      <w:r>
        <w:t xml:space="preserve">(6.1/km²) to densely settled</w:t>
      </w:r>
      <w:r>
        <w:t xml:space="preserve"> </w:t>
      </w:r>
      <w:r>
        <w:rPr>
          <w:b/>
        </w:rPr>
        <w:t xml:space="preserve">Bateau Bay-Killarney Vale</w:t>
      </w:r>
      <w:r>
        <w:t xml:space="preserve"> </w:t>
      </w:r>
      <w:r>
        <w:t xml:space="preserve">(2,117/km²) and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(2,021/km²).</w:t>
      </w:r>
    </w:p>
    <w:p>
      <w:pPr>
        <w:pStyle w:val="Heading2"/>
      </w:pPr>
      <w:bookmarkStart w:id="23" w:name="economic-activity-business"/>
      <w:r>
        <w:t xml:space="preserve">2. Economic Activity &amp; Business</w:t>
      </w:r>
      <w:bookmarkEnd w:id="23"/>
    </w:p>
    <w:p>
      <w:pPr>
        <w:pStyle w:val="FirstParagraph"/>
      </w:pPr>
      <w:r>
        <w:t xml:space="preserve">The region supports</w:t>
      </w:r>
      <w:r>
        <w:t xml:space="preserve"> </w:t>
      </w:r>
      <w:r>
        <w:rPr>
          <w:b/>
        </w:rPr>
        <w:t xml:space="preserve">28,800+ businesses</w:t>
      </w:r>
      <w:r>
        <w:t xml:space="preserve">, concentrated in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(2,629),</w:t>
      </w:r>
      <w:r>
        <w:t xml:space="preserve"> </w:t>
      </w:r>
      <w:r>
        <w:rPr>
          <w:b/>
        </w:rPr>
        <w:t xml:space="preserve">Erina-Green Point</w:t>
      </w:r>
      <w:r>
        <w:t xml:space="preserve"> </w:t>
      </w:r>
      <w:r>
        <w:t xml:space="preserve">(1,807), and</w:t>
      </w:r>
      <w:r>
        <w:t xml:space="preserve"> </w:t>
      </w:r>
      <w:r>
        <w:rPr>
          <w:b/>
        </w:rPr>
        <w:t xml:space="preserve">Terrigal-North Avoca</w:t>
      </w:r>
      <w:r>
        <w:t xml:space="preserve"> </w:t>
      </w:r>
      <w:r>
        <w:t xml:space="preserve">(1,577). Manufacturing remains significant with</w:t>
      </w:r>
      <w:r>
        <w:t xml:space="preserve"> </w:t>
      </w:r>
      <w:r>
        <w:rPr>
          <w:b/>
        </w:rPr>
        <w:t xml:space="preserve">950 businesses</w:t>
      </w:r>
      <w:r>
        <w:t xml:space="preserve">, led by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(150) and</w:t>
      </w:r>
      <w:r>
        <w:t xml:space="preserve"> </w:t>
      </w:r>
      <w:r>
        <w:rPr>
          <w:b/>
        </w:rPr>
        <w:t xml:space="preserve">Calga-Kulnura</w:t>
      </w:r>
      <w:r>
        <w:t xml:space="preserve"> </w:t>
      </w:r>
      <w:r>
        <w:t xml:space="preserve">(98, likely rural/industrial).</w:t>
      </w:r>
      <w:r>
        <w:t xml:space="preserve"> </w:t>
      </w:r>
      <w:r>
        <w:rPr>
          <w:b/>
        </w:rPr>
        <w:t xml:space="preserve">Healthcare businesses</w:t>
      </w:r>
      <w:r>
        <w:t xml:space="preserve"> </w:t>
      </w:r>
      <w:r>
        <w:t xml:space="preserve">(2,300+) cluster in service hubs: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(335),</w:t>
      </w:r>
      <w:r>
        <w:t xml:space="preserve"> </w:t>
      </w:r>
      <w:r>
        <w:rPr>
          <w:b/>
        </w:rPr>
        <w:t xml:space="preserve">Erina-Green Point</w:t>
      </w:r>
      <w:r>
        <w:t xml:space="preserve"> </w:t>
      </w:r>
      <w:r>
        <w:t xml:space="preserve">(232),</w:t>
      </w:r>
      <w:r>
        <w:t xml:space="preserve"> </w:t>
      </w:r>
      <w:r>
        <w:rPr>
          <w:b/>
        </w:rPr>
        <w:t xml:space="preserve">Terrigal-North Avoca</w:t>
      </w:r>
      <w:r>
        <w:t xml:space="preserve"> </w:t>
      </w:r>
      <w:r>
        <w:t xml:space="preserve">(202).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</w:rPr>
        <w:t xml:space="preserve">labour force</w:t>
      </w:r>
      <w:r>
        <w:t xml:space="preserve"> </w:t>
      </w:r>
      <w:r>
        <w:t xml:space="preserve">totals approximately</w:t>
      </w:r>
      <w:r>
        <w:t xml:space="preserve"> </w:t>
      </w:r>
      <w:r>
        <w:rPr>
          <w:b/>
        </w:rPr>
        <w:t xml:space="preserve">197,000</w:t>
      </w:r>
      <w:r>
        <w:t xml:space="preserve">, with unemployment averaging</w:t>
      </w:r>
      <w:r>
        <w:t xml:space="preserve"> </w:t>
      </w:r>
      <w:r>
        <w:rPr>
          <w:b/>
        </w:rPr>
        <w:t xml:space="preserve">3.2%</w:t>
      </w:r>
      <w:r>
        <w:t xml:space="preserve"> </w:t>
      </w:r>
      <w:r>
        <w:t xml:space="preserve">but varying dramatically. Critical hotspots include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(8.1%, 357 unemployed),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(5.8%, 628), and</w:t>
      </w:r>
      <w:r>
        <w:t xml:space="preserve"> </w:t>
      </w:r>
      <w:r>
        <w:rPr>
          <w:b/>
        </w:rPr>
        <w:t xml:space="preserve">Blue Haven-San Remo</w:t>
      </w:r>
      <w:r>
        <w:t xml:space="preserve"> </w:t>
      </w:r>
      <w:r>
        <w:t xml:space="preserve">(5.8%, 341). Coastal affluent areas show minimal unemployment:</w:t>
      </w:r>
      <w:r>
        <w:t xml:space="preserve"> </w:t>
      </w:r>
      <w:r>
        <w:rPr>
          <w:b/>
        </w:rPr>
        <w:t xml:space="preserve">Avoca Beach-Copacabana</w:t>
      </w:r>
      <w:r>
        <w:t xml:space="preserve"> </w:t>
      </w:r>
      <w:r>
        <w:t xml:space="preserve">(1.1%, 47),</w:t>
      </w:r>
      <w:r>
        <w:t xml:space="preserve"> </w:t>
      </w:r>
      <w:r>
        <w:rPr>
          <w:b/>
        </w:rPr>
        <w:t xml:space="preserve">Wamberal-Forresters Beach</w:t>
      </w:r>
      <w:r>
        <w:t xml:space="preserve"> </w:t>
      </w:r>
      <w:r>
        <w:t xml:space="preserve">(1.4%, 82).</w:t>
      </w:r>
    </w:p>
    <w:p>
      <w:pPr>
        <w:pStyle w:val="BodyText"/>
      </w:pPr>
      <w:r>
        <w:rPr>
          <w:b/>
        </w:rPr>
        <w:t xml:space="preserve">JobSeeker payments</w:t>
      </w:r>
      <w:r>
        <w:t xml:space="preserve"> </w:t>
      </w:r>
      <w:r>
        <w:t xml:space="preserve">reach</w:t>
      </w:r>
      <w:r>
        <w:t xml:space="preserve"> </w:t>
      </w:r>
      <w:r>
        <w:rPr>
          <w:b/>
        </w:rPr>
        <w:t xml:space="preserve">15,500+ recipients</w:t>
      </w:r>
      <w:r>
        <w:t xml:space="preserve">, highest in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(1,165),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(1,020), and</w:t>
      </w:r>
      <w:r>
        <w:t xml:space="preserve"> </w:t>
      </w:r>
      <w:r>
        <w:rPr>
          <w:b/>
        </w:rPr>
        <w:t xml:space="preserve">Umina-Booker Bay-Patonga</w:t>
      </w:r>
      <w:r>
        <w:t xml:space="preserve"> </w:t>
      </w:r>
      <w:r>
        <w:t xml:space="preserve">(1,030). Rates per labour force participant reveal deeper disadvantage: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(13.6%),</w:t>
      </w:r>
      <w:r>
        <w:t xml:space="preserve"> </w:t>
      </w:r>
      <w:r>
        <w:rPr>
          <w:b/>
        </w:rPr>
        <w:t xml:space="preserve">Gorokan</w:t>
      </w:r>
      <w:r>
        <w:t xml:space="preserve"> </w:t>
      </w:r>
      <w:r>
        <w:t xml:space="preserve">(10.7%) versus</w:t>
      </w:r>
      <w:r>
        <w:t xml:space="preserve"> </w:t>
      </w:r>
      <w:r>
        <w:rPr>
          <w:b/>
        </w:rPr>
        <w:t xml:space="preserve">Avoca Beach</w:t>
      </w:r>
      <w:r>
        <w:t xml:space="preserve"> </w:t>
      </w:r>
      <w:r>
        <w:t xml:space="preserve">(3.2%).</w:t>
      </w:r>
    </w:p>
    <w:p>
      <w:pPr>
        <w:pStyle w:val="BodyText"/>
      </w:pPr>
      <w:r>
        <w:rPr>
          <w:b/>
        </w:rPr>
        <w:t xml:space="preserve">Median household income</w:t>
      </w:r>
      <w:r>
        <w:t xml:space="preserve"> </w:t>
      </w:r>
      <w:r>
        <w:t xml:space="preserve">demonstrates extreme inequality. Affluent coastal suburbs command</w:t>
      </w:r>
      <w:r>
        <w:t xml:space="preserve"> </w:t>
      </w:r>
      <w:r>
        <w:rPr>
          <w:b/>
        </w:rPr>
        <w:t xml:space="preserve">$1,869/week</w:t>
      </w:r>
      <w:r>
        <w:t xml:space="preserve"> </w:t>
      </w:r>
      <w:r>
        <w:t xml:space="preserve">(</w:t>
      </w:r>
      <w:r>
        <w:rPr>
          <w:b/>
        </w:rPr>
        <w:t xml:space="preserve">Avoca Beach-Copacabana</w:t>
      </w:r>
      <w:r>
        <w:t xml:space="preserve">),</w:t>
      </w:r>
      <w:r>
        <w:t xml:space="preserve"> </w:t>
      </w:r>
      <w:r>
        <w:rPr>
          <w:b/>
        </w:rPr>
        <w:t xml:space="preserve">$1,852</w:t>
      </w:r>
      <w:r>
        <w:t xml:space="preserve"> </w:t>
      </w:r>
      <w:r>
        <w:t xml:space="preserve">(</w:t>
      </w:r>
      <w:r>
        <w:rPr>
          <w:b/>
        </w:rPr>
        <w:t xml:space="preserve">Wamberal-Forresters Beach</w:t>
      </w:r>
      <w:r>
        <w:t xml:space="preserve">),</w:t>
      </w:r>
      <w:r>
        <w:t xml:space="preserve"> </w:t>
      </w:r>
      <w:r>
        <w:rPr>
          <w:b/>
        </w:rPr>
        <w:t xml:space="preserve">$1,760</w:t>
      </w:r>
      <w:r>
        <w:t xml:space="preserve"> </w:t>
      </w:r>
      <w:r>
        <w:t xml:space="preserve">(</w:t>
      </w:r>
      <w:r>
        <w:rPr>
          <w:b/>
        </w:rPr>
        <w:t xml:space="preserve">Terrigal-North Avoca</w:t>
      </w:r>
      <w:r>
        <w:t xml:space="preserve">), while struggling areas earn</w:t>
      </w:r>
      <w:r>
        <w:t xml:space="preserve"> </w:t>
      </w:r>
      <w:r>
        <w:rPr>
          <w:b/>
        </w:rPr>
        <w:t xml:space="preserve">$971</w:t>
      </w:r>
      <w:r>
        <w:t xml:space="preserve"> </w:t>
      </w:r>
      <w:r>
        <w:t xml:space="preserve">(</w:t>
      </w:r>
      <w:r>
        <w:rPr>
          <w:b/>
        </w:rPr>
        <w:t xml:space="preserve">Toukley-Norah Head</w:t>
      </w:r>
      <w:r>
        <w:t xml:space="preserve">),</w:t>
      </w:r>
      <w:r>
        <w:t xml:space="preserve"> </w:t>
      </w:r>
      <w:r>
        <w:rPr>
          <w:b/>
        </w:rPr>
        <w:t xml:space="preserve">$977</w:t>
      </w:r>
      <w:r>
        <w:t xml:space="preserve"> </w:t>
      </w:r>
      <w:r>
        <w:t xml:space="preserve">(</w:t>
      </w:r>
      <w:r>
        <w:rPr>
          <w:b/>
        </w:rPr>
        <w:t xml:space="preserve">Lake Munmorah</w:t>
      </w:r>
      <w:r>
        <w:t xml:space="preserve">),</w:t>
      </w:r>
      <w:r>
        <w:t xml:space="preserve"> </w:t>
      </w:r>
      <w:r>
        <w:rPr>
          <w:b/>
        </w:rPr>
        <w:t xml:space="preserve">$984</w:t>
      </w:r>
      <w:r>
        <w:t xml:space="preserve"> </w:t>
      </w:r>
      <w:r>
        <w:t xml:space="preserve">(</w:t>
      </w:r>
      <w:r>
        <w:rPr>
          <w:b/>
        </w:rPr>
        <w:t xml:space="preserve">The Entrance</w:t>
      </w:r>
      <w:r>
        <w:t xml:space="preserve">) — barely above 50% of wealthy neighbors.</w:t>
      </w:r>
    </w:p>
    <w:p>
      <w:pPr>
        <w:pStyle w:val="BodyText"/>
      </w:pPr>
      <w:r>
        <w:rPr>
          <w:b/>
        </w:rPr>
        <w:t xml:space="preserve">Building activity</w:t>
      </w:r>
      <w:r>
        <w:t xml:space="preserve"> </w:t>
      </w:r>
      <w:r>
        <w:t xml:space="preserve">totals</w:t>
      </w:r>
      <w:r>
        <w:t xml:space="preserve"> </w:t>
      </w:r>
      <w:r>
        <w:rPr>
          <w:b/>
        </w:rPr>
        <w:t xml:space="preserve">$910 million</w:t>
      </w:r>
      <w:r>
        <w:t xml:space="preserve">, dominated by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($157M, 184 dwellings),</w:t>
      </w:r>
      <w:r>
        <w:t xml:space="preserve"> </w:t>
      </w:r>
      <w:r>
        <w:rPr>
          <w:b/>
        </w:rPr>
        <w:t xml:space="preserve">Warnervale-Wadalba</w:t>
      </w:r>
      <w:r>
        <w:t xml:space="preserve"> </w:t>
      </w:r>
      <w:r>
        <w:t xml:space="preserve">($94M, 224 dwellings), and</w:t>
      </w:r>
      <w:r>
        <w:t xml:space="preserve"> </w:t>
      </w:r>
      <w:r>
        <w:rPr>
          <w:b/>
        </w:rPr>
        <w:t xml:space="preserve">The Entrance</w:t>
      </w:r>
      <w:r>
        <w:t xml:space="preserve"> </w:t>
      </w:r>
      <w:r>
        <w:t xml:space="preserve">($86.7M, 133 dwellings). This represents</w:t>
      </w:r>
      <w:r>
        <w:t xml:space="preserve"> </w:t>
      </w:r>
      <w:r>
        <w:rPr>
          <w:b/>
        </w:rPr>
        <w:t xml:space="preserve">1,310 dwelling approvals</w:t>
      </w:r>
      <w:r>
        <w:t xml:space="preserve"> </w:t>
      </w:r>
      <w:r>
        <w:t xml:space="preserve">regionwide, insufficient for population growth needs.</w:t>
      </w:r>
    </w:p>
    <w:p>
      <w:pPr>
        <w:pStyle w:val="Heading2"/>
      </w:pPr>
      <w:bookmarkStart w:id="24" w:name="housing-affordability"/>
      <w:r>
        <w:t xml:space="preserve">3. Housing &amp; Affordability</w:t>
      </w:r>
      <w:bookmarkEnd w:id="24"/>
    </w:p>
    <w:p>
      <w:pPr>
        <w:pStyle w:val="FirstParagraph"/>
      </w:pPr>
      <w:r>
        <w:rPr>
          <w:b/>
        </w:rPr>
        <w:t xml:space="preserve">House prices</w:t>
      </w:r>
      <w:r>
        <w:t xml:space="preserve"> </w:t>
      </w:r>
      <w:r>
        <w:t xml:space="preserve">create severe affordability challenges. Median prices range from</w:t>
      </w:r>
      <w:r>
        <w:t xml:space="preserve"> </w:t>
      </w:r>
      <w:r>
        <w:rPr>
          <w:b/>
        </w:rPr>
        <w:t xml:space="preserve">$800,000</w:t>
      </w:r>
      <w:r>
        <w:t xml:space="preserve"> </w:t>
      </w:r>
      <w:r>
        <w:t xml:space="preserve">(</w:t>
      </w:r>
      <w:r>
        <w:rPr>
          <w:b/>
        </w:rPr>
        <w:t xml:space="preserve">Tuggerah-Kangy Angy</w:t>
      </w:r>
      <w:r>
        <w:t xml:space="preserve">) to</w:t>
      </w:r>
      <w:r>
        <w:t xml:space="preserve"> </w:t>
      </w:r>
      <w:r>
        <w:rPr>
          <w:b/>
        </w:rPr>
        <w:t xml:space="preserve">$1,964,000</w:t>
      </w:r>
      <w:r>
        <w:t xml:space="preserve"> </w:t>
      </w:r>
      <w:r>
        <w:t xml:space="preserve">(</w:t>
      </w:r>
      <w:r>
        <w:rPr>
          <w:b/>
        </w:rPr>
        <w:t xml:space="preserve">Erina-Green Point</w:t>
      </w:r>
      <w:r>
        <w:t xml:space="preserve">), with coastal premium suburbs commanding</w:t>
      </w:r>
      <w:r>
        <w:t xml:space="preserve"> </w:t>
      </w:r>
      <w:r>
        <w:rPr>
          <w:b/>
        </w:rPr>
        <w:t xml:space="preserve">$1,700,000+</w:t>
      </w:r>
      <w:r>
        <w:t xml:space="preserve"> </w:t>
      </w:r>
      <w:r>
        <w:t xml:space="preserve">(</w:t>
      </w:r>
      <w:r>
        <w:rPr>
          <w:b/>
        </w:rPr>
        <w:t xml:space="preserve">Avoca Beach</w:t>
      </w:r>
      <w:r>
        <w:t xml:space="preserve">,</w:t>
      </w:r>
      <w:r>
        <w:t xml:space="preserve"> </w:t>
      </w:r>
      <w:r>
        <w:rPr>
          <w:b/>
        </w:rPr>
        <w:t xml:space="preserve">Wamberal</w:t>
      </w:r>
      <w:r>
        <w:t xml:space="preserve">,</w:t>
      </w:r>
      <w:r>
        <w:t xml:space="preserve"> </w:t>
      </w:r>
      <w:r>
        <w:rPr>
          <w:b/>
        </w:rPr>
        <w:t xml:space="preserve">Box Head-MacMasters Beach</w:t>
      </w:r>
      <w:r>
        <w:t xml:space="preserve">).</w:t>
      </w:r>
    </w:p>
    <w:p>
      <w:pPr>
        <w:pStyle w:val="BodyText"/>
      </w:pPr>
      <w:r>
        <w:rPr>
          <w:b/>
        </w:rPr>
        <w:t xml:space="preserve">Unit prices</w:t>
      </w:r>
      <w:r>
        <w:t xml:space="preserve"> </w:t>
      </w:r>
      <w:r>
        <w:t xml:space="preserve">follow similar patterns:</w:t>
      </w:r>
      <w:r>
        <w:t xml:space="preserve"> </w:t>
      </w:r>
      <w:r>
        <w:rPr>
          <w:b/>
        </w:rPr>
        <w:t xml:space="preserve">$2,637,500</w:t>
      </w:r>
      <w:r>
        <w:t xml:space="preserve"> </w:t>
      </w:r>
      <w:r>
        <w:t xml:space="preserve">(</w:t>
      </w:r>
      <w:r>
        <w:rPr>
          <w:b/>
        </w:rPr>
        <w:t xml:space="preserve">Erina-Green Point</w:t>
      </w:r>
      <w:r>
        <w:t xml:space="preserve">) down to</w:t>
      </w:r>
      <w:r>
        <w:t xml:space="preserve"> </w:t>
      </w:r>
      <w:r>
        <w:rPr>
          <w:b/>
        </w:rPr>
        <w:t xml:space="preserve">$500,000</w:t>
      </w:r>
      <w:r>
        <w:t xml:space="preserve"> </w:t>
      </w:r>
      <w:r>
        <w:t xml:space="preserve">(</w:t>
      </w:r>
      <w:r>
        <w:rPr>
          <w:b/>
        </w:rPr>
        <w:t xml:space="preserve">Blue Haven-San Remo</w:t>
      </w:r>
      <w:r>
        <w:t xml:space="preserve">). Middle-ring suburbs cluster around</w:t>
      </w:r>
      <w:r>
        <w:t xml:space="preserve"> </w:t>
      </w:r>
      <w:r>
        <w:rPr>
          <w:b/>
        </w:rPr>
        <w:t xml:space="preserve">$700,000-$850,000</w:t>
      </w:r>
      <w:r>
        <w:t xml:space="preserve">.</w:t>
      </w:r>
    </w:p>
    <w:p>
      <w:pPr>
        <w:pStyle w:val="BodyText"/>
      </w:pPr>
      <w:r>
        <w:rPr>
          <w:b/>
        </w:rPr>
        <w:t xml:space="preserve">Weekly rents</w:t>
      </w:r>
      <w:r>
        <w:t xml:space="preserve"> </w:t>
      </w:r>
      <w:r>
        <w:t xml:space="preserve">for houses span</w:t>
      </w:r>
      <w:r>
        <w:t xml:space="preserve"> </w:t>
      </w:r>
      <w:r>
        <w:rPr>
          <w:b/>
        </w:rPr>
        <w:t xml:space="preserve">$596</w:t>
      </w:r>
      <w:r>
        <w:t xml:space="preserve"> </w:t>
      </w:r>
      <w:r>
        <w:t xml:space="preserve">(</w:t>
      </w:r>
      <w:r>
        <w:rPr>
          <w:b/>
        </w:rPr>
        <w:t xml:space="preserve">Toukley-Norah Head</w:t>
      </w:r>
      <w:r>
        <w:t xml:space="preserve">) to</w:t>
      </w:r>
      <w:r>
        <w:t xml:space="preserve"> </w:t>
      </w:r>
      <w:r>
        <w:rPr>
          <w:b/>
        </w:rPr>
        <w:t xml:space="preserve">$1,088</w:t>
      </w:r>
      <w:r>
        <w:t xml:space="preserve"> </w:t>
      </w:r>
      <w:r>
        <w:t xml:space="preserve">(</w:t>
      </w:r>
      <w:r>
        <w:rPr>
          <w:b/>
        </w:rPr>
        <w:t xml:space="preserve">Box Head-MacMasters Beach</w:t>
      </w:r>
      <w:r>
        <w:t xml:space="preserve">), with units ranging</w:t>
      </w:r>
      <w:r>
        <w:t xml:space="preserve"> </w:t>
      </w:r>
      <w:r>
        <w:rPr>
          <w:b/>
        </w:rPr>
        <w:t xml:space="preserve">$460</w:t>
      </w:r>
      <w:r>
        <w:t xml:space="preserve"> </w:t>
      </w:r>
      <w:r>
        <w:t xml:space="preserve">(</w:t>
      </w:r>
      <w:r>
        <w:rPr>
          <w:b/>
        </w:rPr>
        <w:t xml:space="preserve">Blue Haven</w:t>
      </w:r>
      <w:r>
        <w:t xml:space="preserve">) to</w:t>
      </w:r>
      <w:r>
        <w:t xml:space="preserve"> </w:t>
      </w:r>
      <w:r>
        <w:rPr>
          <w:b/>
        </w:rPr>
        <w:t xml:space="preserve">$675</w:t>
      </w:r>
      <w:r>
        <w:t xml:space="preserve"> </w:t>
      </w:r>
      <w:r>
        <w:t xml:space="preserve">(</w:t>
      </w:r>
      <w:r>
        <w:rPr>
          <w:b/>
        </w:rPr>
        <w:t xml:space="preserve">Terrigal</w:t>
      </w:r>
      <w:r>
        <w:t xml:space="preserve">). Coastal tourist areas show inflated rents relative to incomes.</w:t>
      </w:r>
    </w:p>
    <w:p>
      <w:pPr>
        <w:pStyle w:val="BodyText"/>
      </w:pPr>
      <w:r>
        <w:rPr>
          <w:b/>
        </w:rPr>
        <w:t xml:space="preserve">Price-to-income ratios</w:t>
      </w:r>
      <w:r>
        <w:t xml:space="preserve"> </w:t>
      </w:r>
      <w:r>
        <w:t xml:space="preserve">reveal crisis levels. In</w:t>
      </w:r>
      <w:r>
        <w:t xml:space="preserve"> </w:t>
      </w:r>
      <w:r>
        <w:rPr>
          <w:b/>
        </w:rPr>
        <w:t xml:space="preserve">Wyong</w:t>
      </w:r>
      <w:r>
        <w:t xml:space="preserve">, median house price ($885,000) equals 16.2× median annual income; in</w:t>
      </w:r>
      <w:r>
        <w:t xml:space="preserve"> </w:t>
      </w:r>
      <w:r>
        <w:rPr>
          <w:b/>
        </w:rPr>
        <w:t xml:space="preserve">The Entrance</w:t>
      </w:r>
      <w:r>
        <w:t xml:space="preserve">, 28.7×. Even</w:t>
      </w:r>
      <w:r>
        <w:t xml:space="preserve"> </w:t>
      </w:r>
      <w:r>
        <w:t xml:space="preserve">“</w:t>
      </w:r>
      <w:r>
        <w:t xml:space="preserve">affordable</w:t>
      </w:r>
      <w:r>
        <w:t xml:space="preserve">”</w:t>
      </w:r>
      <w:r>
        <w:t xml:space="preserve"> </w:t>
      </w:r>
      <w:r>
        <w:rPr>
          <w:b/>
        </w:rPr>
        <w:t xml:space="preserve">Blue Haven-San Remo</w:t>
      </w:r>
      <w:r>
        <w:t xml:space="preserve"> </w:t>
      </w:r>
      <w:r>
        <w:t xml:space="preserve">shows 12.8× ratio. Only high-income areas like</w:t>
      </w:r>
      <w:r>
        <w:t xml:space="preserve"> </w:t>
      </w:r>
      <w:r>
        <w:rPr>
          <w:b/>
        </w:rPr>
        <w:t xml:space="preserve">Jilliby-Yarramalong</w:t>
      </w:r>
      <w:r>
        <w:t xml:space="preserve"> </w:t>
      </w:r>
      <w:r>
        <w:t xml:space="preserve">(9.1×) approach manageable levels.</w:t>
      </w:r>
    </w:p>
    <w:p>
      <w:pPr>
        <w:pStyle w:val="BodyText"/>
      </w:pPr>
      <w:r>
        <w:rPr>
          <w:b/>
        </w:rPr>
        <w:t xml:space="preserve">Rental stress</w:t>
      </w:r>
      <w:r>
        <w:t xml:space="preserve"> </w:t>
      </w:r>
      <w:r>
        <w:t xml:space="preserve">affects thousands. In</w:t>
      </w:r>
      <w:r>
        <w:t xml:space="preserve"> </w:t>
      </w:r>
      <w:r>
        <w:rPr>
          <w:b/>
        </w:rPr>
        <w:t xml:space="preserve">Wyong</w:t>
      </w:r>
      <w:r>
        <w:t xml:space="preserve">, median rent ($630/week) consumes 58% of median income; in</w:t>
      </w:r>
      <w:r>
        <w:t xml:space="preserve"> </w:t>
      </w:r>
      <w:r>
        <w:rPr>
          <w:b/>
        </w:rPr>
        <w:t xml:space="preserve">The Entrance</w:t>
      </w:r>
      <w:r>
        <w:t xml:space="preserve">, 71%.</w:t>
      </w:r>
      <w:r>
        <w:t xml:space="preserve"> </w:t>
      </w:r>
      <w:r>
        <w:rPr>
          <w:b/>
        </w:rPr>
        <w:t xml:space="preserve">Commonwealth Rent Assistance</w:t>
      </w:r>
      <w:r>
        <w:t xml:space="preserve"> </w:t>
      </w:r>
      <w:r>
        <w:t xml:space="preserve">supports</w:t>
      </w:r>
      <w:r>
        <w:t xml:space="preserve"> </w:t>
      </w:r>
      <w:r>
        <w:rPr>
          <w:b/>
        </w:rPr>
        <w:t xml:space="preserve">28,800+ households</w:t>
      </w:r>
      <w:r>
        <w:t xml:space="preserve">, concentrated in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(2,565),</w:t>
      </w:r>
      <w:r>
        <w:t xml:space="preserve"> </w:t>
      </w:r>
      <w:r>
        <w:rPr>
          <w:b/>
        </w:rPr>
        <w:t xml:space="preserve">Umina</w:t>
      </w:r>
      <w:r>
        <w:t xml:space="preserve"> </w:t>
      </w:r>
      <w:r>
        <w:t xml:space="preserve">(2,425),</w:t>
      </w:r>
      <w:r>
        <w:t xml:space="preserve"> </w:t>
      </w:r>
      <w:r>
        <w:rPr>
          <w:b/>
        </w:rPr>
        <w:t xml:space="preserve">The Entrance</w:t>
      </w:r>
      <w:r>
        <w:t xml:space="preserve"> </w:t>
      </w:r>
      <w:r>
        <w:t xml:space="preserve">(2,030).</w:t>
      </w:r>
    </w:p>
    <w:p>
      <w:pPr>
        <w:pStyle w:val="BodyText"/>
      </w:pPr>
      <w:r>
        <w:rPr>
          <w:b/>
        </w:rPr>
        <w:t xml:space="preserve">Listing visits per property</w:t>
      </w:r>
      <w:r>
        <w:t xml:space="preserve"> </w:t>
      </w:r>
      <w:r>
        <w:t xml:space="preserve">indicate market demand:</w:t>
      </w:r>
      <w:r>
        <w:t xml:space="preserve"> </w:t>
      </w:r>
      <w:r>
        <w:rPr>
          <w:b/>
        </w:rPr>
        <w:t xml:space="preserve">Wamberal</w:t>
      </w:r>
      <w:r>
        <w:t xml:space="preserve"> </w:t>
      </w:r>
      <w:r>
        <w:t xml:space="preserve">(2,198),</w:t>
      </w:r>
      <w:r>
        <w:t xml:space="preserve"> </w:t>
      </w:r>
      <w:r>
        <w:rPr>
          <w:b/>
        </w:rPr>
        <w:t xml:space="preserve">Wyoming</w:t>
      </w:r>
      <w:r>
        <w:t xml:space="preserve"> </w:t>
      </w:r>
      <w:r>
        <w:t xml:space="preserve">(2,274),</w:t>
      </w:r>
      <w:r>
        <w:t xml:space="preserve"> </w:t>
      </w:r>
      <w:r>
        <w:rPr>
          <w:b/>
        </w:rPr>
        <w:t xml:space="preserve">Terrigal</w:t>
      </w:r>
      <w:r>
        <w:t xml:space="preserve"> </w:t>
      </w:r>
      <w:r>
        <w:t xml:space="preserve">(2,258) attract intense interest, while retail-focused</w:t>
      </w:r>
      <w:r>
        <w:t xml:space="preserve"> </w:t>
      </w:r>
      <w:r>
        <w:rPr>
          <w:b/>
        </w:rPr>
        <w:t xml:space="preserve">Tuggerah</w:t>
      </w:r>
      <w:r>
        <w:t xml:space="preserve"> </w:t>
      </w:r>
      <w:r>
        <w:t xml:space="preserve">receives minimal residential attention (157).</w:t>
      </w:r>
    </w:p>
    <w:p>
      <w:pPr>
        <w:pStyle w:val="Heading2"/>
      </w:pPr>
      <w:bookmarkStart w:id="25" w:name="socioeconomic-wellbeing"/>
      <w:r>
        <w:t xml:space="preserve">4. Socioeconomic Wellbeing</w:t>
      </w:r>
      <w:bookmarkEnd w:id="25"/>
    </w:p>
    <w:p>
      <w:pPr>
        <w:pStyle w:val="FirstParagraph"/>
      </w:pPr>
      <w:r>
        <w:rPr>
          <w:b/>
        </w:rPr>
        <w:t xml:space="preserve">SEIFA indices</w:t>
      </w:r>
      <w:r>
        <w:t xml:space="preserve"> </w:t>
      </w:r>
      <w:r>
        <w:t xml:space="preserve">reveal profound inequality. The</w:t>
      </w:r>
      <w:r>
        <w:t xml:space="preserve"> </w:t>
      </w:r>
      <w:r>
        <w:rPr>
          <w:b/>
        </w:rPr>
        <w:t xml:space="preserve">Index of Relative Socio-economic Advantage and Disadvantage</w:t>
      </w:r>
      <w:r>
        <w:t xml:space="preserve"> </w:t>
      </w:r>
      <w:r>
        <w:t xml:space="preserve">ranges from</w:t>
      </w:r>
      <w:r>
        <w:t xml:space="preserve"> </w:t>
      </w:r>
      <w:r>
        <w:rPr>
          <w:b/>
        </w:rPr>
        <w:t xml:space="preserve">1,085.45</w:t>
      </w:r>
      <w:r>
        <w:t xml:space="preserve"> </w:t>
      </w:r>
      <w:r>
        <w:t xml:space="preserve">(</w:t>
      </w:r>
      <w:r>
        <w:rPr>
          <w:b/>
        </w:rPr>
        <w:t xml:space="preserve">Terrigal-North Avoca</w:t>
      </w:r>
      <w:r>
        <w:t xml:space="preserve">) and</w:t>
      </w:r>
      <w:r>
        <w:t xml:space="preserve"> </w:t>
      </w:r>
      <w:r>
        <w:rPr>
          <w:b/>
        </w:rPr>
        <w:t xml:space="preserve">1,084.48</w:t>
      </w:r>
      <w:r>
        <w:t xml:space="preserve"> </w:t>
      </w:r>
      <w:r>
        <w:t xml:space="preserve">(</w:t>
      </w:r>
      <w:r>
        <w:rPr>
          <w:b/>
        </w:rPr>
        <w:t xml:space="preserve">Avoca Beach-Copacabana</w:t>
      </w:r>
      <w:r>
        <w:t xml:space="preserve">) to</w:t>
      </w:r>
      <w:r>
        <w:t xml:space="preserve"> </w:t>
      </w:r>
      <w:r>
        <w:rPr>
          <w:b/>
        </w:rPr>
        <w:t xml:space="preserve">886.3</w:t>
      </w:r>
      <w:r>
        <w:t xml:space="preserve"> </w:t>
      </w:r>
      <w:r>
        <w:t xml:space="preserve">(</w:t>
      </w:r>
      <w:r>
        <w:rPr>
          <w:b/>
        </w:rPr>
        <w:t xml:space="preserve">Blue Haven-San Remo</w:t>
      </w:r>
      <w:r>
        <w:t xml:space="preserve">) and</w:t>
      </w:r>
      <w:r>
        <w:t xml:space="preserve"> </w:t>
      </w:r>
      <w:r>
        <w:rPr>
          <w:b/>
        </w:rPr>
        <w:t xml:space="preserve">891.37</w:t>
      </w:r>
      <w:r>
        <w:t xml:space="preserve"> </w:t>
      </w:r>
      <w:r>
        <w:t xml:space="preserve">(</w:t>
      </w:r>
      <w:r>
        <w:rPr>
          <w:b/>
        </w:rPr>
        <w:t xml:space="preserve">Gorokan-Kanwal-Charmhaven</w:t>
      </w:r>
      <w:r>
        <w:t xml:space="preserve">) — a 200-point chasm representing vastly different life opportunities.</w:t>
      </w:r>
    </w:p>
    <w:p>
      <w:pPr>
        <w:pStyle w:val="BodyText"/>
      </w:pPr>
      <w:r>
        <w:rPr>
          <w:b/>
        </w:rPr>
        <w:t xml:space="preserve">Education attainment</w:t>
      </w:r>
      <w:r>
        <w:t xml:space="preserve"> </w:t>
      </w:r>
      <w:r>
        <w:t xml:space="preserve">mirrors this divide. Year 12 completion peaks at</w:t>
      </w:r>
      <w:r>
        <w:t xml:space="preserve"> </w:t>
      </w:r>
      <w:r>
        <w:rPr>
          <w:b/>
        </w:rPr>
        <w:t xml:space="preserve">45.48%</w:t>
      </w:r>
      <w:r>
        <w:t xml:space="preserve"> </w:t>
      </w:r>
      <w:r>
        <w:t xml:space="preserve">(</w:t>
      </w:r>
      <w:r>
        <w:rPr>
          <w:b/>
        </w:rPr>
        <w:t xml:space="preserve">Terrigal</w:t>
      </w:r>
      <w:r>
        <w:t xml:space="preserve">) and</w:t>
      </w:r>
      <w:r>
        <w:t xml:space="preserve"> </w:t>
      </w:r>
      <w:r>
        <w:rPr>
          <w:b/>
        </w:rPr>
        <w:t xml:space="preserve">44.53%</w:t>
      </w:r>
      <w:r>
        <w:t xml:space="preserve"> </w:t>
      </w:r>
      <w:r>
        <w:t xml:space="preserve">(</w:t>
      </w:r>
      <w:r>
        <w:rPr>
          <w:b/>
        </w:rPr>
        <w:t xml:space="preserve">Avoca Beach</w:t>
      </w:r>
      <w:r>
        <w:t xml:space="preserve">) but falls to</w:t>
      </w:r>
      <w:r>
        <w:t xml:space="preserve"> </w:t>
      </w:r>
      <w:r>
        <w:rPr>
          <w:b/>
        </w:rPr>
        <w:t xml:space="preserve">22.92%</w:t>
      </w:r>
      <w:r>
        <w:t xml:space="preserve"> </w:t>
      </w:r>
      <w:r>
        <w:t xml:space="preserve">(</w:t>
      </w:r>
      <w:r>
        <w:rPr>
          <w:b/>
        </w:rPr>
        <w:t xml:space="preserve">Lake Munmorah</w:t>
      </w:r>
      <w:r>
        <w:t xml:space="preserve">) and</w:t>
      </w:r>
      <w:r>
        <w:t xml:space="preserve"> </w:t>
      </w:r>
      <w:r>
        <w:rPr>
          <w:b/>
        </w:rPr>
        <w:t xml:space="preserve">22.99%</w:t>
      </w:r>
      <w:r>
        <w:t xml:space="preserve"> </w:t>
      </w:r>
      <w:r>
        <w:t xml:space="preserve">(</w:t>
      </w:r>
      <w:r>
        <w:rPr>
          <w:b/>
        </w:rPr>
        <w:t xml:space="preserve">Blue Haven</w:t>
      </w:r>
      <w:r>
        <w:t xml:space="preserve">). Bachelor degrees reach</w:t>
      </w:r>
      <w:r>
        <w:t xml:space="preserve"> </w:t>
      </w:r>
      <w:r>
        <w:rPr>
          <w:b/>
        </w:rPr>
        <w:t xml:space="preserve">15.02%</w:t>
      </w:r>
      <w:r>
        <w:t xml:space="preserve"> </w:t>
      </w:r>
      <w:r>
        <w:t xml:space="preserve">(</w:t>
      </w:r>
      <w:r>
        <w:rPr>
          <w:b/>
        </w:rPr>
        <w:t xml:space="preserve">Terrigal</w:t>
      </w:r>
      <w:r>
        <w:t xml:space="preserve">),</w:t>
      </w:r>
      <w:r>
        <w:t xml:space="preserve"> </w:t>
      </w:r>
      <w:r>
        <w:rPr>
          <w:b/>
        </w:rPr>
        <w:t xml:space="preserve">14.74%</w:t>
      </w:r>
      <w:r>
        <w:t xml:space="preserve"> </w:t>
      </w:r>
      <w:r>
        <w:t xml:space="preserve">(</w:t>
      </w:r>
      <w:r>
        <w:rPr>
          <w:b/>
        </w:rPr>
        <w:t xml:space="preserve">Avoca Beach</w:t>
      </w:r>
      <w:r>
        <w:t xml:space="preserve">) versus</w:t>
      </w:r>
      <w:r>
        <w:t xml:space="preserve"> </w:t>
      </w:r>
      <w:r>
        <w:rPr>
          <w:b/>
        </w:rPr>
        <w:t xml:space="preserve">3.3%</w:t>
      </w:r>
      <w:r>
        <w:t xml:space="preserve"> </w:t>
      </w:r>
      <w:r>
        <w:t xml:space="preserve">(</w:t>
      </w:r>
      <w:r>
        <w:rPr>
          <w:b/>
        </w:rPr>
        <w:t xml:space="preserve">Blue Haven</w:t>
      </w:r>
      <w:r>
        <w:t xml:space="preserve">) and</w:t>
      </w:r>
      <w:r>
        <w:t xml:space="preserve"> </w:t>
      </w:r>
      <w:r>
        <w:rPr>
          <w:b/>
        </w:rPr>
        <w:t xml:space="preserve">4.4%</w:t>
      </w:r>
      <w:r>
        <w:t xml:space="preserve"> </w:t>
      </w:r>
      <w:r>
        <w:t xml:space="preserve">(</w:t>
      </w:r>
      <w:r>
        <w:rPr>
          <w:b/>
        </w:rPr>
        <w:t xml:space="preserve">Gorokan</w:t>
      </w:r>
      <w:r>
        <w:t xml:space="preserve">).</w:t>
      </w:r>
    </w:p>
    <w:p>
      <w:pPr>
        <w:pStyle w:val="BodyText"/>
      </w:pPr>
      <w:r>
        <w:rPr>
          <w:b/>
        </w:rPr>
        <w:t xml:space="preserve">Welfare dependency</w:t>
      </w:r>
      <w:r>
        <w:t xml:space="preserve"> </w:t>
      </w:r>
      <w:r>
        <w:t xml:space="preserve">is widespread.</w:t>
      </w:r>
      <w:r>
        <w:t xml:space="preserve"> </w:t>
      </w:r>
      <w:r>
        <w:rPr>
          <w:b/>
        </w:rPr>
        <w:t xml:space="preserve">Age Pension</w:t>
      </w:r>
      <w:r>
        <w:t xml:space="preserve"> </w:t>
      </w:r>
      <w:r>
        <w:t xml:space="preserve">supports</w:t>
      </w:r>
      <w:r>
        <w:t xml:space="preserve"> </w:t>
      </w:r>
      <w:r>
        <w:rPr>
          <w:b/>
        </w:rPr>
        <w:t xml:space="preserve">52,000+ recipients</w:t>
      </w:r>
      <w:r>
        <w:t xml:space="preserve">, concentrated in aging coastal communities:</w:t>
      </w:r>
      <w:r>
        <w:t xml:space="preserve"> </w:t>
      </w:r>
      <w:r>
        <w:rPr>
          <w:b/>
        </w:rPr>
        <w:t xml:space="preserve">Erina-Green Point</w:t>
      </w:r>
      <w:r>
        <w:t xml:space="preserve"> </w:t>
      </w:r>
      <w:r>
        <w:t xml:space="preserve">(2,835),</w:t>
      </w:r>
      <w:r>
        <w:t xml:space="preserve"> </w:t>
      </w:r>
      <w:r>
        <w:rPr>
          <w:b/>
        </w:rPr>
        <w:t xml:space="preserve">Lake Munmorah</w:t>
      </w:r>
      <w:r>
        <w:t xml:space="preserve"> </w:t>
      </w:r>
      <w:r>
        <w:t xml:space="preserve">(2,750),</w:t>
      </w:r>
      <w:r>
        <w:t xml:space="preserve"> </w:t>
      </w:r>
      <w:r>
        <w:rPr>
          <w:b/>
        </w:rPr>
        <w:t xml:space="preserve">Umina</w:t>
      </w:r>
      <w:r>
        <w:t xml:space="preserve"> </w:t>
      </w:r>
      <w:r>
        <w:t xml:space="preserve">(4,260).</w:t>
      </w:r>
      <w:r>
        <w:t xml:space="preserve"> </w:t>
      </w:r>
      <w:r>
        <w:rPr>
          <w:b/>
        </w:rPr>
        <w:t xml:space="preserve">Disability Support Pension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</w:rPr>
        <w:t xml:space="preserve">16,200+</w:t>
      </w:r>
      <w:r>
        <w:t xml:space="preserve">, highest in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(1,520),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(1,150).</w:t>
      </w:r>
    </w:p>
    <w:p>
      <w:pPr>
        <w:pStyle w:val="BodyText"/>
      </w:pPr>
      <w:r>
        <w:rPr>
          <w:b/>
        </w:rPr>
        <w:t xml:space="preserve">Pension Concession Cards</w:t>
      </w:r>
      <w:r>
        <w:t xml:space="preserve"> </w:t>
      </w:r>
      <w:r>
        <w:t xml:space="preserve">(110,000+) and</w:t>
      </w:r>
      <w:r>
        <w:t xml:space="preserve"> </w:t>
      </w:r>
      <w:r>
        <w:rPr>
          <w:b/>
        </w:rPr>
        <w:t xml:space="preserve">Health Care Cards</w:t>
      </w:r>
      <w:r>
        <w:t xml:space="preserve"> </w:t>
      </w:r>
      <w:r>
        <w:t xml:space="preserve">(19,500+) indicate extensive cost-of-living support needs.</w:t>
      </w:r>
      <w:r>
        <w:t xml:space="preserve"> </w:t>
      </w:r>
      <w:r>
        <w:rPr>
          <w:b/>
        </w:rPr>
        <w:t xml:space="preserve">Family Tax Benefit A</w:t>
      </w:r>
      <w:r>
        <w:t xml:space="preserve"> </w:t>
      </w:r>
      <w:r>
        <w:t xml:space="preserve">assists</w:t>
      </w:r>
      <w:r>
        <w:t xml:space="preserve"> </w:t>
      </w:r>
      <w:r>
        <w:rPr>
          <w:b/>
        </w:rPr>
        <w:t xml:space="preserve">19,400+ families</w:t>
      </w:r>
      <w:r>
        <w:t xml:space="preserve">, concentrated where young families struggle:</w:t>
      </w:r>
      <w:r>
        <w:t xml:space="preserve"> </w:t>
      </w:r>
      <w:r>
        <w:rPr>
          <w:b/>
        </w:rPr>
        <w:t xml:space="preserve">Gorokan</w:t>
      </w:r>
      <w:r>
        <w:t xml:space="preserve"> </w:t>
      </w:r>
      <w:r>
        <w:t xml:space="preserve">(1,705),</w:t>
      </w:r>
      <w:r>
        <w:t xml:space="preserve"> </w:t>
      </w:r>
      <w:r>
        <w:rPr>
          <w:b/>
        </w:rPr>
        <w:t xml:space="preserve">Bateau Bay</w:t>
      </w:r>
      <w:r>
        <w:t xml:space="preserve"> </w:t>
      </w:r>
      <w:r>
        <w:t xml:space="preserve">(1,235),</w:t>
      </w:r>
      <w:r>
        <w:t xml:space="preserve"> </w:t>
      </w:r>
      <w:r>
        <w:rPr>
          <w:b/>
        </w:rPr>
        <w:t xml:space="preserve">Warnervale</w:t>
      </w:r>
      <w:r>
        <w:t xml:space="preserve"> </w:t>
      </w:r>
      <w:r>
        <w:t xml:space="preserve">(1,370).</w:t>
      </w:r>
    </w:p>
    <w:p>
      <w:pPr>
        <w:pStyle w:val="BodyText"/>
      </w:pPr>
      <w:r>
        <w:rPr>
          <w:b/>
        </w:rPr>
        <w:t xml:space="preserve">Parenting Payment Single</w:t>
      </w:r>
      <w:r>
        <w:t xml:space="preserve"> </w:t>
      </w:r>
      <w:r>
        <w:t xml:space="preserve">supports</w:t>
      </w:r>
      <w:r>
        <w:t xml:space="preserve"> </w:t>
      </w:r>
      <w:r>
        <w:rPr>
          <w:b/>
        </w:rPr>
        <w:t xml:space="preserve">6,600+ single parents</w:t>
      </w:r>
      <w:r>
        <w:t xml:space="preserve">, notably in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(640),</w:t>
      </w:r>
      <w:r>
        <w:t xml:space="preserve"> </w:t>
      </w:r>
      <w:r>
        <w:rPr>
          <w:b/>
        </w:rPr>
        <w:t xml:space="preserve">Warnervale-Wadalba</w:t>
      </w:r>
      <w:r>
        <w:t xml:space="preserve"> </w:t>
      </w:r>
      <w:r>
        <w:t xml:space="preserve">(470),</w:t>
      </w:r>
      <w:r>
        <w:t xml:space="preserve"> </w:t>
      </w:r>
      <w:r>
        <w:rPr>
          <w:b/>
        </w:rPr>
        <w:t xml:space="preserve">Blue Haven-San Remo</w:t>
      </w:r>
      <w:r>
        <w:t xml:space="preserve"> </w:t>
      </w:r>
      <w:r>
        <w:t xml:space="preserve">(405), signaling family stress and vulnerability.</w:t>
      </w:r>
    </w:p>
    <w:p>
      <w:pPr>
        <w:pStyle w:val="BodyText"/>
      </w:pPr>
      <w:r>
        <w:rPr>
          <w:b/>
        </w:rPr>
        <w:t xml:space="preserve">Homelessness</w:t>
      </w:r>
      <w:r>
        <w:t xml:space="preserve"> </w:t>
      </w:r>
      <w:r>
        <w:t xml:space="preserve">affects</w:t>
      </w:r>
      <w:r>
        <w:t xml:space="preserve"> </w:t>
      </w:r>
      <w:r>
        <w:rPr>
          <w:b/>
        </w:rPr>
        <w:t xml:space="preserve">1,650+ people</w:t>
      </w:r>
      <w:r>
        <w:t xml:space="preserve"> </w:t>
      </w:r>
      <w:r>
        <w:t xml:space="preserve">regionwide (likely undercounted). Highest numbers in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(236),</w:t>
      </w:r>
      <w:r>
        <w:t xml:space="preserve"> </w:t>
      </w:r>
      <w:r>
        <w:rPr>
          <w:b/>
        </w:rPr>
        <w:t xml:space="preserve">The Entrance</w:t>
      </w:r>
      <w:r>
        <w:t xml:space="preserve"> </w:t>
      </w:r>
      <w:r>
        <w:t xml:space="preserve">(273),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(160),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(138), and</w:t>
      </w:r>
      <w:r>
        <w:t xml:space="preserve"> </w:t>
      </w:r>
      <w:r>
        <w:rPr>
          <w:b/>
        </w:rPr>
        <w:t xml:space="preserve">Woy Woy-Blackwall</w:t>
      </w:r>
      <w:r>
        <w:t xml:space="preserve"> </w:t>
      </w:r>
      <w:r>
        <w:t xml:space="preserve">(115).</w:t>
      </w:r>
    </w:p>
    <w:p>
      <w:pPr>
        <w:pStyle w:val="Heading2"/>
      </w:pPr>
      <w:bookmarkStart w:id="26" w:name="crime-safety"/>
      <w:r>
        <w:t xml:space="preserve">5. Crime &amp; Safety</w:t>
      </w:r>
      <w:bookmarkEnd w:id="26"/>
    </w:p>
    <w:p>
      <w:pPr>
        <w:pStyle w:val="FirstParagraph"/>
      </w:pPr>
      <w:r>
        <w:rPr>
          <w:b/>
        </w:rPr>
        <w:t xml:space="preserve">Crime rates vary dramatically</w:t>
      </w:r>
      <w:r>
        <w:t xml:space="preserve">, though data appears sparse or suppressed in some SA2s.</w:t>
      </w:r>
      <w:r>
        <w:t xml:space="preserve"> </w:t>
      </w:r>
      <w:r>
        <w:rPr>
          <w:b/>
        </w:rPr>
        <w:t xml:space="preserve">Assault rates</w:t>
      </w:r>
      <w:r>
        <w:t xml:space="preserve"> </w:t>
      </w:r>
      <w:r>
        <w:t xml:space="preserve">(per 1,000 population) range from minimal</w:t>
      </w:r>
      <w:r>
        <w:t xml:space="preserve"> </w:t>
      </w:r>
      <w:r>
        <w:rPr>
          <w:b/>
        </w:rPr>
        <w:t xml:space="preserve">0.09</w:t>
      </w:r>
      <w:r>
        <w:t xml:space="preserve"> </w:t>
      </w:r>
      <w:r>
        <w:t xml:space="preserve">(</w:t>
      </w:r>
      <w:r>
        <w:rPr>
          <w:b/>
        </w:rPr>
        <w:t xml:space="preserve">Lake Munmorah-Mannering Park</w:t>
      </w:r>
      <w:r>
        <w:t xml:space="preserve">) and</w:t>
      </w:r>
      <w:r>
        <w:t xml:space="preserve"> </w:t>
      </w:r>
      <w:r>
        <w:rPr>
          <w:b/>
        </w:rPr>
        <w:t xml:space="preserve">0.42</w:t>
      </w:r>
      <w:r>
        <w:t xml:space="preserve"> </w:t>
      </w:r>
      <w:r>
        <w:t xml:space="preserve">(</w:t>
      </w:r>
      <w:r>
        <w:rPr>
          <w:b/>
        </w:rPr>
        <w:t xml:space="preserve">Saratoga-Davistown</w:t>
      </w:r>
      <w:r>
        <w:t xml:space="preserve">) to concerning levels:</w:t>
      </w:r>
      <w:r>
        <w:t xml:space="preserve"> </w:t>
      </w:r>
      <w:r>
        <w:rPr>
          <w:b/>
        </w:rPr>
        <w:t xml:space="preserve">12.36</w:t>
      </w:r>
      <w:r>
        <w:t xml:space="preserve"> </w:t>
      </w:r>
      <w:r>
        <w:t xml:space="preserve">(</w:t>
      </w:r>
      <w:r>
        <w:rPr>
          <w:b/>
        </w:rPr>
        <w:t xml:space="preserve">Wyong</w:t>
      </w:r>
      <w:r>
        <w:t xml:space="preserve">),</w:t>
      </w:r>
      <w:r>
        <w:t xml:space="preserve"> </w:t>
      </w:r>
      <w:r>
        <w:rPr>
          <w:b/>
        </w:rPr>
        <w:t xml:space="preserve">9.76</w:t>
      </w:r>
      <w:r>
        <w:t xml:space="preserve"> </w:t>
      </w:r>
      <w:r>
        <w:t xml:space="preserve">(</w:t>
      </w:r>
      <w:r>
        <w:rPr>
          <w:b/>
        </w:rPr>
        <w:t xml:space="preserve">Gosford-Springfield</w:t>
      </w:r>
      <w:r>
        <w:t xml:space="preserve">),</w:t>
      </w:r>
      <w:r>
        <w:t xml:space="preserve"> </w:t>
      </w:r>
      <w:r>
        <w:rPr>
          <w:b/>
        </w:rPr>
        <w:t xml:space="preserve">9.38</w:t>
      </w:r>
      <w:r>
        <w:t xml:space="preserve"> </w:t>
      </w:r>
      <w:r>
        <w:t xml:space="preserve">(</w:t>
      </w:r>
      <w:r>
        <w:rPr>
          <w:b/>
        </w:rPr>
        <w:t xml:space="preserve">Tuggerah-Kangy Angy</w:t>
      </w:r>
      <w:r>
        <w:t xml:space="preserve">).</w:t>
      </w:r>
    </w:p>
    <w:p>
      <w:pPr>
        <w:pStyle w:val="BodyText"/>
      </w:pPr>
      <w:r>
        <w:rPr>
          <w:b/>
        </w:rPr>
        <w:t xml:space="preserve">Theft rates</w:t>
      </w:r>
      <w:r>
        <w:t xml:space="preserve"> </w:t>
      </w:r>
      <w:r>
        <w:t xml:space="preserve">peak dramatically at</w:t>
      </w:r>
      <w:r>
        <w:t xml:space="preserve"> </w:t>
      </w:r>
      <w:r>
        <w:rPr>
          <w:b/>
        </w:rPr>
        <w:t xml:space="preserve">83.09</w:t>
      </w:r>
      <w:r>
        <w:t xml:space="preserve"> </w:t>
      </w:r>
      <w:r>
        <w:t xml:space="preserve">in retail hub</w:t>
      </w:r>
      <w:r>
        <w:t xml:space="preserve"> </w:t>
      </w:r>
      <w:r>
        <w:rPr>
          <w:b/>
        </w:rPr>
        <w:t xml:space="preserve">Tuggerah-Kangy Angy</w:t>
      </w:r>
      <w:r>
        <w:t xml:space="preserve"> </w:t>
      </w:r>
      <w:r>
        <w:t xml:space="preserve">(commercial center),</w:t>
      </w:r>
      <w:r>
        <w:t xml:space="preserve"> </w:t>
      </w:r>
      <w:r>
        <w:rPr>
          <w:b/>
        </w:rPr>
        <w:t xml:space="preserve">42.12</w:t>
      </w:r>
      <w:r>
        <w:t xml:space="preserve"> </w:t>
      </w:r>
      <w:r>
        <w:t xml:space="preserve">(</w:t>
      </w:r>
      <w:r>
        <w:rPr>
          <w:b/>
        </w:rPr>
        <w:t xml:space="preserve">Wyong</w:t>
      </w:r>
      <w:r>
        <w:t xml:space="preserve">),</w:t>
      </w:r>
      <w:r>
        <w:t xml:space="preserve"> </w:t>
      </w:r>
      <w:r>
        <w:rPr>
          <w:b/>
        </w:rPr>
        <w:t xml:space="preserve">39.66</w:t>
      </w:r>
      <w:r>
        <w:t xml:space="preserve"> </w:t>
      </w:r>
      <w:r>
        <w:t xml:space="preserve">(</w:t>
      </w:r>
      <w:r>
        <w:rPr>
          <w:b/>
        </w:rPr>
        <w:t xml:space="preserve">Gosford-Springfield</w:t>
      </w:r>
      <w:r>
        <w:t xml:space="preserve">) — town centers experience concentrated property crime. Lowest rates:</w:t>
      </w:r>
      <w:r>
        <w:t xml:space="preserve"> </w:t>
      </w:r>
      <w:r>
        <w:rPr>
          <w:b/>
        </w:rPr>
        <w:t xml:space="preserve">1.28</w:t>
      </w:r>
      <w:r>
        <w:t xml:space="preserve"> </w:t>
      </w:r>
      <w:r>
        <w:t xml:space="preserve">(</w:t>
      </w:r>
      <w:r>
        <w:rPr>
          <w:b/>
        </w:rPr>
        <w:t xml:space="preserve">Lake Munmorah</w:t>
      </w:r>
      <w:r>
        <w:t xml:space="preserve">),</w:t>
      </w:r>
      <w:r>
        <w:t xml:space="preserve"> </w:t>
      </w:r>
      <w:r>
        <w:rPr>
          <w:b/>
        </w:rPr>
        <w:t xml:space="preserve">3.35</w:t>
      </w:r>
      <w:r>
        <w:t xml:space="preserve"> </w:t>
      </w:r>
      <w:r>
        <w:t xml:space="preserve">(</w:t>
      </w:r>
      <w:r>
        <w:rPr>
          <w:b/>
        </w:rPr>
        <w:t xml:space="preserve">Saratoga</w:t>
      </w:r>
      <w:r>
        <w:t xml:space="preserve">).</w:t>
      </w:r>
    </w:p>
    <w:p>
      <w:pPr>
        <w:pStyle w:val="BodyText"/>
      </w:pPr>
      <w:r>
        <w:rPr>
          <w:b/>
        </w:rPr>
        <w:t xml:space="preserve">Drug offences</w:t>
      </w:r>
      <w:r>
        <w:t xml:space="preserve"> </w:t>
      </w:r>
      <w:r>
        <w:t xml:space="preserve">concentrate in disadvantaged areas:</w:t>
      </w:r>
      <w:r>
        <w:t xml:space="preserve"> </w:t>
      </w:r>
      <w:r>
        <w:rPr>
          <w:b/>
        </w:rPr>
        <w:t xml:space="preserve">16.41</w:t>
      </w:r>
      <w:r>
        <w:t xml:space="preserve"> </w:t>
      </w:r>
      <w:r>
        <w:t xml:space="preserve">(</w:t>
      </w:r>
      <w:r>
        <w:rPr>
          <w:b/>
        </w:rPr>
        <w:t xml:space="preserve">Wyong</w:t>
      </w:r>
      <w:r>
        <w:t xml:space="preserve">),</w:t>
      </w:r>
      <w:r>
        <w:t xml:space="preserve"> </w:t>
      </w:r>
      <w:r>
        <w:rPr>
          <w:b/>
        </w:rPr>
        <w:t xml:space="preserve">12.87</w:t>
      </w:r>
      <w:r>
        <w:t xml:space="preserve"> </w:t>
      </w:r>
      <w:r>
        <w:t xml:space="preserve">(</w:t>
      </w:r>
      <w:r>
        <w:rPr>
          <w:b/>
        </w:rPr>
        <w:t xml:space="preserve">Gosford-Springfield</w:t>
      </w:r>
      <w:r>
        <w:t xml:space="preserve">),</w:t>
      </w:r>
      <w:r>
        <w:t xml:space="preserve"> </w:t>
      </w:r>
      <w:r>
        <w:rPr>
          <w:b/>
        </w:rPr>
        <w:t xml:space="preserve">6.32</w:t>
      </w:r>
      <w:r>
        <w:t xml:space="preserve"> </w:t>
      </w:r>
      <w:r>
        <w:t xml:space="preserve">(</w:t>
      </w:r>
      <w:r>
        <w:rPr>
          <w:b/>
        </w:rPr>
        <w:t xml:space="preserve">Tuggerah</w:t>
      </w:r>
      <w:r>
        <w:t xml:space="preserve">), versus</w:t>
      </w:r>
      <w:r>
        <w:t xml:space="preserve"> </w:t>
      </w:r>
      <w:r>
        <w:rPr>
          <w:b/>
        </w:rPr>
        <w:t xml:space="preserve">0.14</w:t>
      </w:r>
      <w:r>
        <w:t xml:space="preserve"> </w:t>
      </w:r>
      <w:r>
        <w:t xml:space="preserve">(</w:t>
      </w:r>
      <w:r>
        <w:rPr>
          <w:b/>
        </w:rPr>
        <w:t xml:space="preserve">Saratoga</w:t>
      </w:r>
      <w:r>
        <w:t xml:space="preserve">),</w:t>
      </w:r>
      <w:r>
        <w:t xml:space="preserve"> </w:t>
      </w:r>
      <w:r>
        <w:rPr>
          <w:b/>
        </w:rPr>
        <w:t xml:space="preserve">0.27</w:t>
      </w:r>
      <w:r>
        <w:t xml:space="preserve"> </w:t>
      </w:r>
      <w:r>
        <w:t xml:space="preserve">(</w:t>
      </w:r>
      <w:r>
        <w:rPr>
          <w:b/>
        </w:rPr>
        <w:t xml:space="preserve">Avoca Beach</w:t>
      </w:r>
      <w:r>
        <w:t xml:space="preserve">),</w:t>
      </w:r>
      <w:r>
        <w:t xml:space="preserve"> </w:t>
      </w:r>
      <w:r>
        <w:rPr>
          <w:b/>
        </w:rPr>
        <w:t xml:space="preserve">0.46</w:t>
      </w:r>
      <w:r>
        <w:t xml:space="preserve"> </w:t>
      </w:r>
      <w:r>
        <w:t xml:space="preserve">(</w:t>
      </w:r>
      <w:r>
        <w:rPr>
          <w:b/>
        </w:rPr>
        <w:t xml:space="preserve">Lake Munmorah</w:t>
      </w:r>
      <w:r>
        <w:t xml:space="preserve">).</w:t>
      </w:r>
    </w:p>
    <w:p>
      <w:pPr>
        <w:pStyle w:val="BodyText"/>
      </w:pPr>
      <w:r>
        <w:rPr>
          <w:b/>
        </w:rPr>
        <w:t xml:space="preserve">Intimidation/stalking</w:t>
      </w:r>
      <w:r>
        <w:t xml:space="preserve"> </w:t>
      </w:r>
      <w:r>
        <w:t xml:space="preserve">rates:</w:t>
      </w:r>
      <w:r>
        <w:t xml:space="preserve"> </w:t>
      </w:r>
      <w:r>
        <w:rPr>
          <w:b/>
        </w:rPr>
        <w:t xml:space="preserve">23.19</w:t>
      </w:r>
      <w:r>
        <w:t xml:space="preserve"> </w:t>
      </w:r>
      <w:r>
        <w:t xml:space="preserve">(</w:t>
      </w:r>
      <w:r>
        <w:rPr>
          <w:b/>
        </w:rPr>
        <w:t xml:space="preserve">Wyong</w:t>
      </w:r>
      <w:r>
        <w:t xml:space="preserve">),</w:t>
      </w:r>
      <w:r>
        <w:t xml:space="preserve"> </w:t>
      </w:r>
      <w:r>
        <w:rPr>
          <w:b/>
        </w:rPr>
        <w:t xml:space="preserve">12.0</w:t>
      </w:r>
      <w:r>
        <w:t xml:space="preserve"> </w:t>
      </w:r>
      <w:r>
        <w:t xml:space="preserve">(</w:t>
      </w:r>
      <w:r>
        <w:rPr>
          <w:b/>
        </w:rPr>
        <w:t xml:space="preserve">Gorokan</w:t>
      </w:r>
      <w:r>
        <w:t xml:space="preserve">),</w:t>
      </w:r>
      <w:r>
        <w:t xml:space="preserve"> </w:t>
      </w:r>
      <w:r>
        <w:rPr>
          <w:b/>
        </w:rPr>
        <w:t xml:space="preserve">10.89</w:t>
      </w:r>
      <w:r>
        <w:t xml:space="preserve"> </w:t>
      </w:r>
      <w:r>
        <w:t xml:space="preserve">(</w:t>
      </w:r>
      <w:r>
        <w:rPr>
          <w:b/>
        </w:rPr>
        <w:t xml:space="preserve">Gosford</w:t>
      </w:r>
      <w:r>
        <w:t xml:space="preserve">), compared to</w:t>
      </w:r>
      <w:r>
        <w:t xml:space="preserve"> </w:t>
      </w:r>
      <w:r>
        <w:rPr>
          <w:b/>
        </w:rPr>
        <w:t xml:space="preserve">0.09</w:t>
      </w:r>
      <w:r>
        <w:t xml:space="preserve"> </w:t>
      </w:r>
      <w:r>
        <w:t xml:space="preserve">(</w:t>
      </w:r>
      <w:r>
        <w:rPr>
          <w:b/>
        </w:rPr>
        <w:t xml:space="preserve">Lake Munmorah</w:t>
      </w:r>
      <w:r>
        <w:t xml:space="preserve">),</w:t>
      </w:r>
      <w:r>
        <w:t xml:space="preserve"> </w:t>
      </w:r>
      <w:r>
        <w:rPr>
          <w:b/>
        </w:rPr>
        <w:t xml:space="preserve">1.27</w:t>
      </w:r>
      <w:r>
        <w:t xml:space="preserve"> </w:t>
      </w:r>
      <w:r>
        <w:t xml:space="preserve">(</w:t>
      </w:r>
      <w:r>
        <w:rPr>
          <w:b/>
        </w:rPr>
        <w:t xml:space="preserve">Box Head-MacMasters Beach</w:t>
      </w:r>
      <w:r>
        <w:t xml:space="preserve">).</w:t>
      </w:r>
    </w:p>
    <w:p>
      <w:pPr>
        <w:pStyle w:val="BodyText"/>
      </w:pPr>
      <w:r>
        <w:rPr>
          <w:b/>
        </w:rPr>
        <w:t xml:space="preserve">Malicious damage</w:t>
      </w:r>
      <w:r>
        <w:t xml:space="preserve">:</w:t>
      </w:r>
      <w:r>
        <w:t xml:space="preserve"> </w:t>
      </w:r>
      <w:r>
        <w:rPr>
          <w:b/>
        </w:rPr>
        <w:t xml:space="preserve">19.58</w:t>
      </w:r>
      <w:r>
        <w:t xml:space="preserve"> </w:t>
      </w:r>
      <w:r>
        <w:t xml:space="preserve">(</w:t>
      </w:r>
      <w:r>
        <w:rPr>
          <w:b/>
        </w:rPr>
        <w:t xml:space="preserve">Wyong</w:t>
      </w:r>
      <w:r>
        <w:t xml:space="preserve">),</w:t>
      </w:r>
      <w:r>
        <w:t xml:space="preserve"> </w:t>
      </w:r>
      <w:r>
        <w:rPr>
          <w:b/>
        </w:rPr>
        <w:t xml:space="preserve">11.69</w:t>
      </w:r>
      <w:r>
        <w:t xml:space="preserve"> </w:t>
      </w:r>
      <w:r>
        <w:t xml:space="preserve">(</w:t>
      </w:r>
      <w:r>
        <w:rPr>
          <w:b/>
        </w:rPr>
        <w:t xml:space="preserve">Gosford</w:t>
      </w:r>
      <w:r>
        <w:t xml:space="preserve">), minimal in</w:t>
      </w:r>
      <w:r>
        <w:t xml:space="preserve"> </w:t>
      </w:r>
      <w:r>
        <w:rPr>
          <w:b/>
        </w:rPr>
        <w:t xml:space="preserve">Lake Munmorah</w:t>
      </w:r>
      <w:r>
        <w:t xml:space="preserve"> </w:t>
      </w:r>
      <w:r>
        <w:t xml:space="preserve">(0.09),</w:t>
      </w:r>
      <w:r>
        <w:t xml:space="preserve"> </w:t>
      </w:r>
      <w:r>
        <w:rPr>
          <w:b/>
        </w:rPr>
        <w:t xml:space="preserve">Saratoga</w:t>
      </w:r>
      <w:r>
        <w:t xml:space="preserve"> </w:t>
      </w:r>
      <w:r>
        <w:t xml:space="preserve">(1.54).</w:t>
      </w:r>
    </w:p>
    <w:p>
      <w:pPr>
        <w:pStyle w:val="BodyText"/>
      </w:pPr>
      <w:r>
        <w:rPr>
          <w:b/>
        </w:rPr>
        <w:t xml:space="preserve">Crime geography</w:t>
      </w:r>
      <w:r>
        <w:t xml:space="preserve"> </w:t>
      </w:r>
      <w:r>
        <w:t xml:space="preserve">shows clear correlation with socioeconomic disadvantage and commercial activity. Town centers (</w:t>
      </w:r>
      <w:r>
        <w:rPr>
          <w:b/>
        </w:rPr>
        <w:t xml:space="preserve">Wyong</w:t>
      </w:r>
      <w:r>
        <w:t xml:space="preserve">,</w:t>
      </w:r>
      <w:r>
        <w:t xml:space="preserve"> </w:t>
      </w:r>
      <w:r>
        <w:rPr>
          <w:b/>
        </w:rPr>
        <w:t xml:space="preserve">Gosford</w:t>
      </w:r>
      <w:r>
        <w:t xml:space="preserve">,</w:t>
      </w:r>
      <w:r>
        <w:t xml:space="preserve"> </w:t>
      </w:r>
      <w:r>
        <w:rPr>
          <w:b/>
        </w:rPr>
        <w:t xml:space="preserve">Tuggerah</w:t>
      </w:r>
      <w:r>
        <w:t xml:space="preserve">) experience concentrated incidents, while affluent coastal residential areas (</w:t>
      </w:r>
      <w:r>
        <w:rPr>
          <w:b/>
        </w:rPr>
        <w:t xml:space="preserve">Avoca Beach</w:t>
      </w:r>
      <w:r>
        <w:t xml:space="preserve">,</w:t>
      </w:r>
      <w:r>
        <w:t xml:space="preserve"> </w:t>
      </w:r>
      <w:r>
        <w:rPr>
          <w:b/>
        </w:rPr>
        <w:t xml:space="preserve">Saratoga</w:t>
      </w:r>
      <w:r>
        <w:t xml:space="preserve">,</w:t>
      </w:r>
      <w:r>
        <w:t xml:space="preserve"> </w:t>
      </w:r>
      <w:r>
        <w:rPr>
          <w:b/>
        </w:rPr>
        <w:t xml:space="preserve">Box Head</w:t>
      </w:r>
      <w:r>
        <w:t xml:space="preserve">) remain relatively safe.</w:t>
      </w:r>
    </w:p>
    <w:p>
      <w:pPr>
        <w:pStyle w:val="Heading2"/>
      </w:pPr>
      <w:bookmarkStart w:id="27" w:name="tourism-visitor-economy"/>
      <w:r>
        <w:t xml:space="preserve">6. Tourism &amp; Visitor Economy</w:t>
      </w:r>
      <w:bookmarkEnd w:id="27"/>
    </w:p>
    <w:p>
      <w:pPr>
        <w:pStyle w:val="FirstParagraph"/>
      </w:pPr>
      <w:r>
        <w:rPr>
          <w:b/>
        </w:rPr>
        <w:t xml:space="preserve">Visitor spending</w:t>
      </w:r>
      <w:r>
        <w:t xml:space="preserve"> </w:t>
      </w:r>
      <w:r>
        <w:t xml:space="preserve">totals</w:t>
      </w:r>
      <w:r>
        <w:t xml:space="preserve"> </w:t>
      </w:r>
      <w:r>
        <w:rPr>
          <w:b/>
        </w:rPr>
        <w:t xml:space="preserve">$60+ million</w:t>
      </w:r>
      <w:r>
        <w:t xml:space="preserve"> </w:t>
      </w:r>
      <w:r>
        <w:t xml:space="preserve">annually, concentrated in</w:t>
      </w:r>
      <w:r>
        <w:t xml:space="preserve"> </w:t>
      </w:r>
      <w:r>
        <w:rPr>
          <w:b/>
        </w:rPr>
        <w:t xml:space="preserve">Tuggerah-Kangy Angy</w:t>
      </w:r>
      <w:r>
        <w:t xml:space="preserve"> </w:t>
      </w:r>
      <w:r>
        <w:t xml:space="preserve">($10.3M — retail/commercial),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($7.0M),</w:t>
      </w:r>
      <w:r>
        <w:t xml:space="preserve"> </w:t>
      </w:r>
      <w:r>
        <w:rPr>
          <w:b/>
        </w:rPr>
        <w:t xml:space="preserve">The Entrance</w:t>
      </w:r>
      <w:r>
        <w:t xml:space="preserve"> </w:t>
      </w:r>
      <w:r>
        <w:t xml:space="preserve">($2.7M — beachfront attractions).</w:t>
      </w:r>
    </w:p>
    <w:p>
      <w:pPr>
        <w:pStyle w:val="BodyText"/>
      </w:pPr>
      <w:r>
        <w:rPr>
          <w:b/>
        </w:rPr>
        <w:t xml:space="preserve">Resident spending</w:t>
      </w:r>
      <w:r>
        <w:t xml:space="preserve"> </w:t>
      </w:r>
      <w:r>
        <w:t xml:space="preserve">dominates at</w:t>
      </w:r>
      <w:r>
        <w:t xml:space="preserve"> </w:t>
      </w:r>
      <w:r>
        <w:rPr>
          <w:b/>
        </w:rPr>
        <w:t xml:space="preserve">$360+ million</w:t>
      </w:r>
      <w:r>
        <w:t xml:space="preserve">, led by retail hubs</w:t>
      </w:r>
      <w:r>
        <w:t xml:space="preserve"> </w:t>
      </w:r>
      <w:r>
        <w:rPr>
          <w:b/>
        </w:rPr>
        <w:t xml:space="preserve">Erina-Green Point</w:t>
      </w:r>
      <w:r>
        <w:t xml:space="preserve"> </w:t>
      </w:r>
      <w:r>
        <w:t xml:space="preserve">($67M),</w:t>
      </w:r>
      <w:r>
        <w:t xml:space="preserve"> </w:t>
      </w:r>
      <w:r>
        <w:rPr>
          <w:b/>
        </w:rPr>
        <w:t xml:space="preserve">Tuggerah</w:t>
      </w:r>
      <w:r>
        <w:t xml:space="preserve"> </w:t>
      </w:r>
      <w:r>
        <w:t xml:space="preserve">($39.8M),</w:t>
      </w:r>
      <w:r>
        <w:t xml:space="preserve"> </w:t>
      </w:r>
      <w:r>
        <w:rPr>
          <w:b/>
        </w:rPr>
        <w:t xml:space="preserve">Gosford</w:t>
      </w:r>
      <w:r>
        <w:t xml:space="preserve"> </w:t>
      </w:r>
      <w:r>
        <w:t xml:space="preserve">($41.3M),</w:t>
      </w:r>
      <w:r>
        <w:t xml:space="preserve"> </w:t>
      </w:r>
      <w:r>
        <w:rPr>
          <w:b/>
        </w:rPr>
        <w:t xml:space="preserve">Gorokan</w:t>
      </w:r>
      <w:r>
        <w:t xml:space="preserve"> </w:t>
      </w:r>
      <w:r>
        <w:t xml:space="preserve">($25.5M), reflecting their role as regional shopping centers.</w:t>
      </w:r>
    </w:p>
    <w:p>
      <w:pPr>
        <w:pStyle w:val="BodyText"/>
      </w:pPr>
      <w:r>
        <w:rPr>
          <w:b/>
        </w:rPr>
        <w:t xml:space="preserve">Tourism businesses</w:t>
      </w:r>
      <w:r>
        <w:t xml:space="preserve"> </w:t>
      </w:r>
      <w:r>
        <w:t xml:space="preserve">(1,200+) cluster predictably:</w:t>
      </w:r>
      <w:r>
        <w:t xml:space="preserve"> </w:t>
      </w:r>
      <w:r>
        <w:rPr>
          <w:b/>
        </w:rPr>
        <w:t xml:space="preserve">The Entrance</w:t>
      </w:r>
      <w:r>
        <w:t xml:space="preserve"> </w:t>
      </w:r>
      <w:r>
        <w:t xml:space="preserve">(94),</w:t>
      </w:r>
      <w:r>
        <w:t xml:space="preserve"> </w:t>
      </w:r>
      <w:r>
        <w:rPr>
          <w:b/>
        </w:rPr>
        <w:t xml:space="preserve">Terrigal-North Avoca</w:t>
      </w:r>
      <w:r>
        <w:t xml:space="preserve"> </w:t>
      </w:r>
      <w:r>
        <w:t xml:space="preserve">(93),</w:t>
      </w:r>
      <w:r>
        <w:t xml:space="preserve"> </w:t>
      </w:r>
      <w:r>
        <w:rPr>
          <w:b/>
        </w:rPr>
        <w:t xml:space="preserve">Erina-Green Point</w:t>
      </w:r>
      <w:r>
        <w:t xml:space="preserve"> </w:t>
      </w:r>
      <w:r>
        <w:t xml:space="preserve">(85),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(120) combining beachfront appeal with service infrastructure.</w:t>
      </w:r>
    </w:p>
    <w:p>
      <w:pPr>
        <w:pStyle w:val="BodyText"/>
      </w:pPr>
      <w:r>
        <w:rPr>
          <w:b/>
        </w:rPr>
        <w:t xml:space="preserve">Airbnb/listing dynamics</w:t>
      </w:r>
      <w:r>
        <w:t xml:space="preserve"> </w:t>
      </w:r>
      <w:r>
        <w:t xml:space="preserve">show intense interest in premium coastal areas:</w:t>
      </w:r>
      <w:r>
        <w:t xml:space="preserve"> </w:t>
      </w:r>
      <w:r>
        <w:rPr>
          <w:b/>
        </w:rPr>
        <w:t xml:space="preserve">Wamberal-Forresters Beach</w:t>
      </w:r>
      <w:r>
        <w:t xml:space="preserve"> </w:t>
      </w:r>
      <w:r>
        <w:t xml:space="preserve">(2,198 visits/property),</w:t>
      </w:r>
      <w:r>
        <w:t xml:space="preserve"> </w:t>
      </w:r>
      <w:r>
        <w:rPr>
          <w:b/>
        </w:rPr>
        <w:t xml:space="preserve">Terrigal</w:t>
      </w:r>
      <w:r>
        <w:t xml:space="preserve"> </w:t>
      </w:r>
      <w:r>
        <w:t xml:space="preserve">(2,258),</w:t>
      </w:r>
      <w:r>
        <w:t xml:space="preserve"> </w:t>
      </w:r>
      <w:r>
        <w:rPr>
          <w:b/>
        </w:rPr>
        <w:t xml:space="preserve">Wyoming</w:t>
      </w:r>
      <w:r>
        <w:t xml:space="preserve"> </w:t>
      </w:r>
      <w:r>
        <w:t xml:space="preserve">(2,274) attract tourist rental demand.</w:t>
      </w:r>
      <w:r>
        <w:t xml:space="preserve"> </w:t>
      </w:r>
      <w:r>
        <w:rPr>
          <w:b/>
        </w:rPr>
        <w:t xml:space="preserve">The Entrance</w:t>
      </w:r>
      <w:r>
        <w:t xml:space="preserve"> </w:t>
      </w:r>
      <w:r>
        <w:t xml:space="preserve">(719),</w:t>
      </w:r>
      <w:r>
        <w:t xml:space="preserve"> </w:t>
      </w:r>
      <w:r>
        <w:rPr>
          <w:b/>
        </w:rPr>
        <w:t xml:space="preserve">Woy Woy</w:t>
      </w:r>
      <w:r>
        <w:t xml:space="preserve"> </w:t>
      </w:r>
      <w:r>
        <w:t xml:space="preserve">(1,846) show strong visitor accommodation markets.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</w:rPr>
        <w:t xml:space="preserve">visitor-to-resident spend ratio</w:t>
      </w:r>
      <w:r>
        <w:t xml:space="preserve"> </w:t>
      </w:r>
      <w:r>
        <w:t xml:space="preserve">reveals tourism dependency.</w:t>
      </w:r>
      <w:r>
        <w:t xml:space="preserve"> </w:t>
      </w:r>
      <w:r>
        <w:rPr>
          <w:b/>
        </w:rPr>
        <w:t xml:space="preserve">Jilliby-Yarramalong</w:t>
      </w:r>
      <w:r>
        <w:t xml:space="preserve"> </w:t>
      </w:r>
      <w:r>
        <w:t xml:space="preserve">shows 4:1 visitor-to-resident ratio (rural tourism), while residential suburbs like</w:t>
      </w:r>
      <w:r>
        <w:t xml:space="preserve"> </w:t>
      </w:r>
      <w:r>
        <w:rPr>
          <w:b/>
        </w:rPr>
        <w:t xml:space="preserve">Wyoming</w:t>
      </w:r>
      <w:r>
        <w:t xml:space="preserve"> </w:t>
      </w:r>
      <w:r>
        <w:t xml:space="preserve">(0.06:1) see minimal visitor economy.</w:t>
      </w:r>
    </w:p>
    <w:p>
      <w:pPr>
        <w:pStyle w:val="Heading2"/>
      </w:pPr>
      <w:bookmarkStart w:id="28" w:name="regional-divide-gosford-vs-wyong"/>
      <w:r>
        <w:t xml:space="preserve">7. Regional Divide: Gosford vs Wyong</w:t>
      </w:r>
      <w:bookmarkEnd w:id="28"/>
    </w:p>
    <w:p>
      <w:pPr>
        <w:pStyle w:val="FirstParagraph"/>
      </w:pPr>
      <w:r>
        <w:t xml:space="preserve">The Central Coast’s two SA3 sub-regions show marked contrasts: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Gosford SA3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Wyong SA3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Median Income</w:t>
            </w:r>
          </w:p>
        </w:tc>
        <w:tc>
          <w:p>
            <w:pPr>
              <w:pStyle w:val="Compact"/>
              <w:jc w:val="left"/>
            </w:pPr>
            <w:r>
              <w:t xml:space="preserve">$1,200-$1,900/week</w:t>
            </w:r>
          </w:p>
        </w:tc>
        <w:tc>
          <w:p>
            <w:pPr>
              <w:pStyle w:val="Compact"/>
              <w:jc w:val="left"/>
            </w:pPr>
            <w:r>
              <w:t xml:space="preserve">$970-$1,680/week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House Prices</w:t>
            </w:r>
          </w:p>
        </w:tc>
        <w:tc>
          <w:p>
            <w:pPr>
              <w:pStyle w:val="Compact"/>
              <w:jc w:val="left"/>
            </w:pPr>
            <w:r>
              <w:t xml:space="preserve">$960k-$1,964k</w:t>
            </w:r>
          </w:p>
        </w:tc>
        <w:tc>
          <w:p>
            <w:pPr>
              <w:pStyle w:val="Compact"/>
              <w:jc w:val="left"/>
            </w:pPr>
            <w:r>
              <w:t xml:space="preserve">$800k-$1,457k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Unemployment</w:t>
            </w:r>
          </w:p>
        </w:tc>
        <w:tc>
          <w:p>
            <w:pPr>
              <w:pStyle w:val="Compact"/>
              <w:jc w:val="left"/>
            </w:pPr>
            <w:r>
              <w:t xml:space="preserve">1.1%-5.1% (avg 2.5%)</w:t>
            </w:r>
          </w:p>
        </w:tc>
        <w:tc>
          <w:p>
            <w:pPr>
              <w:pStyle w:val="Compact"/>
              <w:jc w:val="left"/>
            </w:pPr>
            <w:r>
              <w:t xml:space="preserve">2.1%-8.1% (avg 4.2%)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SEIFA Advantage</w:t>
            </w:r>
          </w:p>
        </w:tc>
        <w:tc>
          <w:p>
            <w:pPr>
              <w:pStyle w:val="Compact"/>
              <w:jc w:val="left"/>
            </w:pPr>
            <w:r>
              <w:t xml:space="preserve">946-1,085 (higher)</w:t>
            </w:r>
          </w:p>
        </w:tc>
        <w:tc>
          <w:p>
            <w:pPr>
              <w:pStyle w:val="Compact"/>
              <w:jc w:val="left"/>
            </w:pPr>
            <w:r>
              <w:t xml:space="preserve">886-1,059 (lower)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Year 12 Completion</w:t>
            </w:r>
          </w:p>
        </w:tc>
        <w:tc>
          <w:p>
            <w:pPr>
              <w:pStyle w:val="Compact"/>
              <w:jc w:val="left"/>
            </w:pPr>
            <w:r>
              <w:t xml:space="preserve">31-45%</w:t>
            </w:r>
          </w:p>
        </w:tc>
        <w:tc>
          <w:p>
            <w:pPr>
              <w:pStyle w:val="Compact"/>
              <w:jc w:val="left"/>
            </w:pPr>
            <w:r>
              <w:t xml:space="preserve">23-40%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Bachelor Degrees</w:t>
            </w:r>
          </w:p>
        </w:tc>
        <w:tc>
          <w:p>
            <w:pPr>
              <w:pStyle w:val="Compact"/>
              <w:jc w:val="left"/>
            </w:pPr>
            <w:r>
              <w:t xml:space="preserve">7-15%</w:t>
            </w:r>
          </w:p>
        </w:tc>
        <w:tc>
          <w:p>
            <w:pPr>
              <w:pStyle w:val="Compact"/>
              <w:jc w:val="left"/>
            </w:pPr>
            <w:r>
              <w:t xml:space="preserve">4-11%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Indigenous %</w:t>
            </w:r>
          </w:p>
        </w:tc>
        <w:tc>
          <w:p>
            <w:pPr>
              <w:pStyle w:val="Compact"/>
              <w:jc w:val="left"/>
            </w:pPr>
            <w:r>
              <w:t xml:space="preserve">1.6-4.</w:t>
            </w:r>
          </w:p>
        </w:tc>
        <w:tc>
          <w:p/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2026-08-07T23:59:33Z</dcterms:created>
  <dcterms:modified xsi:type="dcterms:W3CDTF">2026-08-07T23:59:33Z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