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Infraestructura de Cómputo del Sistema de Trading Algorítmico USD/COP</w:t>
      </w:r>
    </w:p>
    <w:p>
      <w:r>
        <w:rPr>
          <w:i/>
        </w:rPr>
        <w:t>Documento de soporte — Capítulo 2 · Julio de 2026</w:t>
      </w:r>
    </w:p>
    <w:p>
      <w:pPr>
        <w:pStyle w:val="Heading2"/>
      </w:pPr>
      <w:r>
        <w:t>1. Visión general</w:t>
      </w:r>
    </w:p>
    <w:p>
      <w:r>
        <w:t>El sistema se desarrolla y opera íntegramente sobre una estación de trabajo local, complementada con servicios de nube puntuales para tareas de lenguaje natural y adquisición de datos. Esta decisión de arquitectura responde a tres criterios: (i) el costo — el ciclo de experimentación de machine learning es intensivo en iteraciones y una GPU local amortizada resulta más económica que instancias GPU en la nube; (ii) la soberanía de los datos y las credenciales de exchange, que nunca salen del equipo; y (iii) la reproducibilidad — toda la plataforma se define como código (Docker Compose, configuraciones YAML versionadas en Git), de modo que el entorno completo puede reconstruirse desde cero con un solo comando.</w:t>
      </w:r>
    </w:p>
    <w:p>
      <w:pPr>
        <w:pStyle w:val="Heading2"/>
      </w:pPr>
      <w:r>
        <w:t>2. Hardware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HP Victus 15-fa0xxx (estación de trabajo portátil)</w:t>
            </w:r>
          </w:p>
        </w:tc>
      </w:tr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Intel Core i5-12500H de 12.ª generación — 12 núcleos / 16 hilos (4P+8E)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32 GB DDR4</w:t>
            </w:r>
          </w:p>
        </w:tc>
      </w:tr>
      <w:tr>
        <w:tc>
          <w:tcPr>
            <w:tcW w:type="dxa" w:w="4320"/>
          </w:tcPr>
          <w:p>
            <w:r>
              <w:t>GPU</w:t>
            </w:r>
          </w:p>
        </w:tc>
        <w:tc>
          <w:tcPr>
            <w:tcW w:type="dxa" w:w="4320"/>
          </w:tcPr>
          <w:p>
            <w:r>
              <w:t>NVIDIA GeForce RTX 3050 Laptop (4 GB GDDR6, CUDA) + Intel Iris Xe integrada</w:t>
            </w:r>
          </w:p>
        </w:tc>
      </w:tr>
      <w:tr>
        <w:tc>
          <w:tcPr>
            <w:tcW w:type="dxa" w:w="4320"/>
          </w:tcPr>
          <w:p>
            <w:r>
              <w:t>Almacenamiento</w:t>
            </w:r>
          </w:p>
        </w:tc>
        <w:tc>
          <w:tcPr>
            <w:tcW w:type="dxa" w:w="4320"/>
          </w:tcPr>
          <w:p>
            <w:r>
              <w:t>SSD NVMe (datasets en Parquet, ~266 K barras FX 5-min + macro 1954→2026)</w:t>
            </w:r>
          </w:p>
        </w:tc>
      </w:tr>
      <w:tr>
        <w:tc>
          <w:tcPr>
            <w:tcW w:type="dxa" w:w="4320"/>
          </w:tcPr>
          <w:p>
            <w:r>
              <w:t>SO</w:t>
            </w:r>
          </w:p>
        </w:tc>
        <w:tc>
          <w:tcPr>
            <w:tcW w:type="dxa" w:w="4320"/>
          </w:tcPr>
          <w:p>
            <w:r>
              <w:t>Windows 11 Home con WSL2 como backend de contenedores Linux</w:t>
            </w:r>
          </w:p>
        </w:tc>
      </w:tr>
    </w:tbl>
    <w:p>
      <w:r>
        <w:t>Un hallazgo experimental relevante: para el agente de aprendizaje por refuerzo (PPO con política MLP, stable-baselines3) el entrenamiento resulta más rápido en CPU (~300 pasos/s) que en la RTX 3050 (65–187 pasos/s), debido al throttling térmico del formato portátil y al tamaño reducido de la red, que no amortiza la transferencia CPU↔GPU. La GPU se reserva para las variantes recurrentes (RecurrentPPO/LSTM), donde sí aporta. Los modelos supervisados del pipeline de producción (Ridge, Bayesian Ridge, XGBoost sobre 21 features) entrenan en CPU en segundos gracias a la ventana semanal expansiva (~3.000 filas diarias).</w:t>
      </w:r>
    </w:p>
    <w:p>
      <w:pPr>
        <w:pStyle w:val="Heading2"/>
      </w:pPr>
      <w:r>
        <w:t>3. Plataforma de servicios (Docker)</w:t>
      </w:r>
    </w:p>
    <w:p>
      <w:r>
        <w:t>Toda la plataforma corre en contenedores orquestados con Docker Compose (Docker 27) en dos perfiles: un modo compacto de 12 servicios (~6–8 GB de RAM) para el ciclo diario, y un modo empresarial de 25+ servicios (~12 GB) que añade observabilidad y gestión de secretos completa:</w:t>
      </w:r>
    </w:p>
    <w:p>
      <w:pPr>
        <w:pStyle w:val="ListBullet"/>
      </w:pPr>
      <w:r>
        <w:rPr>
          <w:b/>
        </w:rPr>
        <w:t xml:space="preserve">PostgreSQL + TimescaleDB: </w:t>
      </w:r>
      <w:r>
        <w:t>base de datos de series de tiempo (OHLCV 5-min multi-par, 40 variables macro, señales y ejecuciones)</w:t>
      </w:r>
    </w:p>
    <w:p>
      <w:pPr>
        <w:pStyle w:val="ListBullet"/>
      </w:pPr>
      <w:r>
        <w:rPr>
          <w:b/>
        </w:rPr>
        <w:t xml:space="preserve">Apache Airflow: </w:t>
      </w:r>
      <w:r>
        <w:t>orquestador de 29 DAGs: ingesta de datos cada 5 minutos, reentrenamiento semanal, señales, monitoreo y respaldos</w:t>
      </w:r>
    </w:p>
    <w:p>
      <w:pPr>
        <w:pStyle w:val="ListBullet"/>
      </w:pPr>
      <w:r>
        <w:rPr>
          <w:b/>
        </w:rPr>
        <w:t xml:space="preserve">MLflow: </w:t>
      </w:r>
      <w:r>
        <w:t>registro de experimentos y artefactos de modelos</w:t>
      </w:r>
    </w:p>
    <w:p>
      <w:pPr>
        <w:pStyle w:val="ListBullet"/>
      </w:pPr>
      <w:r>
        <w:rPr>
          <w:b/>
        </w:rPr>
        <w:t xml:space="preserve">Redis: </w:t>
      </w:r>
      <w:r>
        <w:t>cache y bus de mensajes del puente de ejecución</w:t>
      </w:r>
    </w:p>
    <w:p>
      <w:pPr>
        <w:pStyle w:val="ListBullet"/>
      </w:pPr>
      <w:r>
        <w:rPr>
          <w:b/>
        </w:rPr>
        <w:t xml:space="preserve">MinIO: </w:t>
      </w:r>
      <w:r>
        <w:t>almacenamiento de objetos S3-compatible (respaldo de semillas y artefactos)</w:t>
      </w:r>
    </w:p>
    <w:p>
      <w:pPr>
        <w:pStyle w:val="ListBullet"/>
      </w:pPr>
      <w:r>
        <w:rPr>
          <w:b/>
        </w:rPr>
        <w:t xml:space="preserve">SignalBridge (FastAPI + CCXT): </w:t>
      </w:r>
      <w:r>
        <w:t>microservicio propio de ejecución hacia exchanges (MEXC/Binance) con cadena de chequeos de riesgo y kill-switch</w:t>
      </w:r>
    </w:p>
    <w:p>
      <w:pPr>
        <w:pStyle w:val="ListBullet"/>
      </w:pPr>
      <w:r>
        <w:rPr>
          <w:b/>
        </w:rPr>
        <w:t xml:space="preserve">Next.js 15 (Node 22): </w:t>
      </w:r>
      <w:r>
        <w:t>dashboard web multi-activo con control de acceso por roles</w:t>
      </w:r>
    </w:p>
    <w:p>
      <w:pPr>
        <w:pStyle w:val="ListBullet"/>
      </w:pPr>
      <w:r>
        <w:rPr>
          <w:b/>
        </w:rPr>
        <w:t xml:space="preserve">Prometheus, Grafana, AlertManager, Loki: </w:t>
      </w:r>
      <w:r>
        <w:t>métricas, tableros y alertas (53 reglas)</w:t>
      </w:r>
    </w:p>
    <w:p>
      <w:pPr>
        <w:pStyle w:val="ListBullet"/>
      </w:pPr>
      <w:r>
        <w:rPr>
          <w:b/>
        </w:rPr>
        <w:t xml:space="preserve">HashiCorp Vault: </w:t>
      </w:r>
      <w:r>
        <w:t>cifrado AES-256-GCM de las credenciales de exchange</w:t>
      </w:r>
    </w:p>
    <w:p>
      <w:pPr>
        <w:pStyle w:val="Heading2"/>
      </w:pPr>
      <w:r>
        <w:t>4. Servicios de nube</w:t>
      </w:r>
    </w:p>
    <w:p>
      <w:r>
        <w:t>La nube se usa de forma quirúrgica, no como plataforma de cómputo principal. Azure OpenAI (GPT-4o-mini) genera el análisis semanal de mercado en lenguaje natural, con Anthropic Claude como proveedor de respaldo bajo un patrón strategy con caché en disco y límites de presupuesto (1 USD/día, 15 USD/mes). La adquisición de datos consume APIs externas: TwelveData (FX intradía), FRED (macro EE. UU.), Banco de la República (tasas y EMBI Colombia), Binance/klines público (cripto) e Investing.com. GitHub actúa como nube de integración continua: nueve workflows de GitHub Actions ejecutan pruebas (umbral de cobertura 70%), escaneo de seguridad, validación de contratos de datos y chequeos de drift en cada push.</w:t>
      </w:r>
    </w:p>
    <w:p>
      <w:pPr>
        <w:pStyle w:val="Heading2"/>
      </w:pPr>
      <w:r>
        <w:t>5. Entorno de desarrollo (IDE y herramientas)</w:t>
      </w:r>
    </w:p>
    <w:p>
      <w:r>
        <w:t>El desarrollo se realiza en Visual Studio Code sobre Windows, con terminales PowerShell y Git Bash, asistido por Claude Code (agente de IA en línea de comandos de Anthropic) para programación en pares, auditoría de código y automatización de pruebas end-to-end con Playwright. El stack de lenguajes es Python 3.12 (pandas, NumPy, scikit-learn, XGBoost, stable-baselines3, FastAPI) y TypeScript (Next.js 15, React 19). El versionado usa Git + GitHub con DVC para los datasets, y una disciplina de desarrollo dirigido por especificaciones (SDD): las reglas y contratos viven en archivos versionados que gobiernan tanto el código Python como el TypeScript, con contratos espejo en ambos lenguajes.</w:t>
      </w:r>
    </w:p>
    <w:p>
      <w:pPr>
        <w:pStyle w:val="Heading2"/>
      </w:pPr>
      <w:r>
        <w:t>6. Síntesis</w:t>
      </w:r>
    </w:p>
    <w:p>
      <w:r>
        <w:t>En conjunto, la infraestructura implementa un laboratorio cuantitativo de grado profesional sobre hardware de consumo: una sola máquina de 32 GB de RAM sostiene la base de datos de series de tiempo, la orquestación de 29 pipelines, el registro de experimentos, la observabilidad completa y el dashboard de operación, mientras que el entrenamiento de modelos — deliberadamente ligero por diseño (modelos lineales regularizados y árboles, reentrenados semanalmente) — no requiere cómputo especializado. El costo marginal de operación se reduce a las APIs de datos y a un presupuesto acotado de LLM, manteniendo el sistema reproducible, auditable y económicamente sostenible para un equipo de investigación pequeño.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