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RAD-SMART: Impact Analysis</w:t>
      </w:r>
    </w:p>
    <w:p>
      <w:r>
        <w:rPr>
          <w:b/>
          <w:i w:val="0"/>
        </w:rPr>
        <w:t>How much RAD-SMART improves waiting, with and without it, on the original and on the simulated dataset</w:t>
      </w:r>
    </w:p>
    <w:p>
      <w:r>
        <w:rPr>
          <w:b w:val="0"/>
          <w:i w:val="0"/>
        </w:rPr>
        <w:t>Health-a-thon 2026 · Cancer track · Use case 04: Clinic Operations &amp; Patient Flow · 24 October 2026</w:t>
      </w:r>
    </w:p>
    <w:p>
      <w:pPr>
        <w:ind w:left="170"/>
        <w:shd w:val="clear" w:color="auto" w:fill="F4F3EF"/>
        <w:pBdr>
          <w:left w:val="single" w:sz="18" w:space="8" w:color="1C5CAB"/>
        </w:pBdr>
      </w:pPr>
      <w:r>
        <w:rPr>
          <w:b/>
          <w:i w:val="0"/>
        </w:rPr>
        <w:t>Two datasets, kept apart.</w:t>
      </w:r>
      <w:r>
        <w:rPr>
          <w:b w:val="0"/>
          <w:i w:val="0"/>
        </w:rPr>
        <w:t xml:space="preserve"> The </w:t>
      </w:r>
      <w:r>
        <w:rPr>
          <w:b/>
          <w:i w:val="0"/>
        </w:rPr>
        <w:t>original dataset</w:t>
      </w:r>
      <w:r>
        <w:rPr>
          <w:b w:val="0"/>
          <w:i w:val="0"/>
        </w:rPr>
        <w:t xml:space="preserve"> is the department's own record of 55 treatment days (October–December 2024, 3,137 patient-days), used only as aggregates. The </w:t>
      </w:r>
      <w:r>
        <w:rPr>
          <w:b/>
          <w:i w:val="0"/>
        </w:rPr>
        <w:t>simulated dataset</w:t>
      </w:r>
      <w:r>
        <w:rPr>
          <w:b w:val="0"/>
          <w:i w:val="0"/>
        </w:rPr>
        <w:t xml:space="preserve"> is synthetic patients built on the department's rules. In both, "without" means today's way of booking and "with" means RAD-SMART. The wait is measured from arrival to entering the treatment room.</w:t>
      </w:r>
    </w:p>
    <w:p>
      <w:pPr>
        <w:pBdr>
          <w:bottom w:val="single" w:sz="6" w:space="4" w:color="C3C2B7"/>
        </w:pBdr>
      </w:pPr>
    </w:p>
    <w:p>
      <w:pPr>
        <w:pStyle w:val="Heading1"/>
        <w:keepNext/>
      </w:pPr>
      <w:r>
        <w:rPr>
          <w:b w:val="0"/>
          <w:i w:val="0"/>
        </w:rPr>
        <w:t>1. The answer in one table</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928"/>
        <w:gridCol w:w="1928"/>
        <w:gridCol w:w="1928"/>
        <w:gridCol w:w="1928"/>
        <w:gridCol w:w="1928"/>
      </w:tblGrid>
      <w:tr>
        <w:tc>
          <w:tcPr>
            <w:tcW w:type="dxa" w:w="2943"/>
            <w:shd w:val="clear" w:color="auto" w:fill="E8EFF9"/>
          </w:tcPr>
          <w:p>
            <w:pPr>
              <w:spacing w:after="0"/>
            </w:pPr>
            <w:r>
              <w:rPr>
                <w:b/>
                <w:i w:val="0"/>
                <w:sz w:val="18"/>
              </w:rPr>
              <w:t>Dataset</w:t>
            </w:r>
          </w:p>
        </w:tc>
        <w:tc>
          <w:tcPr>
            <w:tcW w:type="dxa" w:w="2476"/>
            <w:shd w:val="clear" w:color="auto" w:fill="E8EFF9"/>
          </w:tcPr>
          <w:p>
            <w:pPr>
              <w:spacing w:after="0"/>
            </w:pPr>
            <w:r>
              <w:rPr>
                <w:b/>
                <w:i w:val="0"/>
                <w:sz w:val="18"/>
              </w:rPr>
              <w:t>Measure</w:t>
            </w:r>
          </w:p>
        </w:tc>
        <w:tc>
          <w:tcPr>
            <w:tcW w:type="dxa" w:w="1615"/>
            <w:shd w:val="clear" w:color="auto" w:fill="E8EFF9"/>
          </w:tcPr>
          <w:p>
            <w:pPr>
              <w:spacing w:after="0"/>
            </w:pPr>
            <w:r>
              <w:rPr>
                <w:b/>
                <w:i w:val="0"/>
                <w:sz w:val="18"/>
              </w:rPr>
              <w:t>Without RAD-SMART</w:t>
            </w:r>
          </w:p>
        </w:tc>
        <w:tc>
          <w:tcPr>
            <w:tcW w:type="dxa" w:w="1382"/>
            <w:shd w:val="clear" w:color="auto" w:fill="E8EFF9"/>
          </w:tcPr>
          <w:p>
            <w:pPr>
              <w:spacing w:after="0"/>
            </w:pPr>
            <w:r>
              <w:rPr>
                <w:b/>
                <w:i w:val="0"/>
                <w:sz w:val="18"/>
              </w:rPr>
              <w:t>With RAD-SMART</w:t>
            </w:r>
          </w:p>
        </w:tc>
        <w:tc>
          <w:tcPr>
            <w:tcW w:type="dxa" w:w="1222"/>
            <w:shd w:val="clear" w:color="auto" w:fill="E8EFF9"/>
          </w:tcPr>
          <w:p>
            <w:pPr>
              <w:spacing w:after="0"/>
            </w:pPr>
            <w:r>
              <w:rPr>
                <w:b/>
                <w:i w:val="0"/>
                <w:sz w:val="18"/>
              </w:rPr>
              <w:t>Change</w:t>
            </w:r>
          </w:p>
        </w:tc>
      </w:tr>
      <w:tr>
        <w:tc>
          <w:tcPr>
            <w:tcW w:type="dxa" w:w="2943"/>
          </w:tcPr>
          <w:p>
            <w:pPr>
              <w:spacing w:after="0"/>
            </w:pPr>
            <w:r>
              <w:rPr>
                <w:b w:val="0"/>
                <w:i w:val="0"/>
                <w:sz w:val="18"/>
              </w:rPr>
              <w:t>Original (55 recorded days)</w:t>
            </w:r>
          </w:p>
        </w:tc>
        <w:tc>
          <w:tcPr>
            <w:tcW w:type="dxa" w:w="2476"/>
          </w:tcPr>
          <w:p>
            <w:pPr>
              <w:spacing w:after="0"/>
            </w:pPr>
            <w:r>
              <w:rPr>
                <w:b w:val="0"/>
                <w:i w:val="0"/>
                <w:sz w:val="18"/>
              </w:rPr>
              <w:t>90th-percentile wait</w:t>
            </w:r>
          </w:p>
        </w:tc>
        <w:tc>
          <w:tcPr>
            <w:tcW w:type="dxa" w:w="1615"/>
          </w:tcPr>
          <w:p>
            <w:pPr>
              <w:spacing w:after="0"/>
            </w:pPr>
            <w:r>
              <w:rPr>
                <w:b w:val="0"/>
                <w:i w:val="0"/>
                <w:sz w:val="18"/>
              </w:rPr>
              <w:t>108.6 min</w:t>
            </w:r>
          </w:p>
        </w:tc>
        <w:tc>
          <w:tcPr>
            <w:tcW w:type="dxa" w:w="1382"/>
          </w:tcPr>
          <w:p>
            <w:pPr>
              <w:spacing w:after="0"/>
            </w:pPr>
            <w:r>
              <w:rPr>
                <w:b/>
                <w:i w:val="0"/>
                <w:sz w:val="18"/>
              </w:rPr>
              <w:t>70.4 min</w:t>
            </w:r>
          </w:p>
        </w:tc>
        <w:tc>
          <w:tcPr>
            <w:tcW w:type="dxa" w:w="1222"/>
          </w:tcPr>
          <w:p>
            <w:pPr>
              <w:spacing w:after="0"/>
            </w:pPr>
            <w:r>
              <w:rPr>
                <w:b/>
                <w:i w:val="0"/>
                <w:sz w:val="18"/>
              </w:rPr>
              <w:t>−35%</w:t>
            </w:r>
          </w:p>
        </w:tc>
      </w:tr>
      <w:tr>
        <w:tc>
          <w:tcPr>
            <w:tcW w:type="dxa" w:w="2943"/>
          </w:tcPr>
          <w:p>
            <w:pPr>
              <w:spacing w:after="0"/>
            </w:pPr>
            <w:r>
              <w:rPr>
                <w:b w:val="0"/>
                <w:i w:val="0"/>
                <w:sz w:val="18"/>
              </w:rPr>
              <w:t>Original (55 recorded days)</w:t>
            </w:r>
          </w:p>
        </w:tc>
        <w:tc>
          <w:tcPr>
            <w:tcW w:type="dxa" w:w="2476"/>
          </w:tcPr>
          <w:p>
            <w:pPr>
              <w:spacing w:after="0"/>
            </w:pPr>
            <w:r>
              <w:rPr>
                <w:b w:val="0"/>
                <w:i w:val="0"/>
                <w:sz w:val="18"/>
              </w:rPr>
              <w:t>Treated more than 1 hour late</w:t>
            </w:r>
          </w:p>
        </w:tc>
        <w:tc>
          <w:tcPr>
            <w:tcW w:type="dxa" w:w="1615"/>
          </w:tcPr>
          <w:p>
            <w:pPr>
              <w:spacing w:after="0"/>
            </w:pPr>
            <w:r>
              <w:rPr>
                <w:b w:val="0"/>
                <w:i w:val="0"/>
                <w:sz w:val="18"/>
              </w:rPr>
              <w:t>22.2%</w:t>
            </w:r>
          </w:p>
        </w:tc>
        <w:tc>
          <w:tcPr>
            <w:tcW w:type="dxa" w:w="1382"/>
          </w:tcPr>
          <w:p>
            <w:pPr>
              <w:spacing w:after="0"/>
            </w:pPr>
            <w:r>
              <w:rPr>
                <w:b/>
                <w:i w:val="0"/>
                <w:sz w:val="18"/>
              </w:rPr>
              <w:t>5.7%</w:t>
            </w:r>
          </w:p>
        </w:tc>
        <w:tc>
          <w:tcPr>
            <w:tcW w:type="dxa" w:w="1222"/>
          </w:tcPr>
          <w:p>
            <w:pPr>
              <w:spacing w:after="0"/>
            </w:pPr>
            <w:r>
              <w:rPr>
                <w:b w:val="0"/>
                <w:i w:val="0"/>
                <w:sz w:val="18"/>
              </w:rPr>
              <w:t>−16.5 points</w:t>
            </w:r>
          </w:p>
        </w:tc>
      </w:tr>
      <w:tr>
        <w:tc>
          <w:tcPr>
            <w:tcW w:type="dxa" w:w="2943"/>
          </w:tcPr>
          <w:p>
            <w:pPr>
              <w:spacing w:after="0"/>
            </w:pPr>
            <w:r>
              <w:rPr>
                <w:b w:val="0"/>
                <w:i w:val="0"/>
                <w:sz w:val="18"/>
              </w:rPr>
              <w:t>Simulated (12 weeks, standing slots)</w:t>
            </w:r>
          </w:p>
        </w:tc>
        <w:tc>
          <w:tcPr>
            <w:tcW w:type="dxa" w:w="2476"/>
          </w:tcPr>
          <w:p>
            <w:pPr>
              <w:spacing w:after="0"/>
            </w:pPr>
            <w:r>
              <w:rPr>
                <w:b w:val="0"/>
                <w:i w:val="0"/>
                <w:sz w:val="18"/>
              </w:rPr>
              <w:t>90th-percentile wait</w:t>
            </w:r>
          </w:p>
        </w:tc>
        <w:tc>
          <w:tcPr>
            <w:tcW w:type="dxa" w:w="1615"/>
          </w:tcPr>
          <w:p>
            <w:pPr>
              <w:spacing w:after="0"/>
            </w:pPr>
            <w:r>
              <w:rPr>
                <w:b w:val="0"/>
                <w:i w:val="0"/>
                <w:sz w:val="18"/>
              </w:rPr>
              <w:t>81.6 min</w:t>
            </w:r>
          </w:p>
        </w:tc>
        <w:tc>
          <w:tcPr>
            <w:tcW w:type="dxa" w:w="1382"/>
          </w:tcPr>
          <w:p>
            <w:pPr>
              <w:spacing w:after="0"/>
            </w:pPr>
            <w:r>
              <w:rPr>
                <w:b/>
                <w:i w:val="0"/>
                <w:sz w:val="18"/>
              </w:rPr>
              <w:t>49.3 min</w:t>
            </w:r>
          </w:p>
        </w:tc>
        <w:tc>
          <w:tcPr>
            <w:tcW w:type="dxa" w:w="1222"/>
          </w:tcPr>
          <w:p>
            <w:pPr>
              <w:spacing w:after="0"/>
            </w:pPr>
            <w:r>
              <w:rPr>
                <w:b/>
                <w:i w:val="0"/>
                <w:sz w:val="18"/>
              </w:rPr>
              <w:t>−40%</w:t>
            </w:r>
          </w:p>
        </w:tc>
      </w:tr>
      <w:tr>
        <w:tc>
          <w:tcPr>
            <w:tcW w:type="dxa" w:w="2943"/>
          </w:tcPr>
          <w:p>
            <w:pPr>
              <w:spacing w:after="0"/>
            </w:pPr>
            <w:r>
              <w:rPr>
                <w:b w:val="0"/>
                <w:i w:val="0"/>
                <w:sz w:val="18"/>
              </w:rPr>
              <w:t>Simulated (12 weeks, standing slots)</w:t>
            </w:r>
          </w:p>
        </w:tc>
        <w:tc>
          <w:tcPr>
            <w:tcW w:type="dxa" w:w="2476"/>
          </w:tcPr>
          <w:p>
            <w:pPr>
              <w:spacing w:after="0"/>
            </w:pPr>
            <w:r>
              <w:rPr>
                <w:b w:val="0"/>
                <w:i w:val="0"/>
                <w:sz w:val="18"/>
              </w:rPr>
              <w:t>Treated more than 1 hour late</w:t>
            </w:r>
          </w:p>
        </w:tc>
        <w:tc>
          <w:tcPr>
            <w:tcW w:type="dxa" w:w="1615"/>
          </w:tcPr>
          <w:p>
            <w:pPr>
              <w:spacing w:after="0"/>
            </w:pPr>
            <w:r>
              <w:rPr>
                <w:b w:val="0"/>
                <w:i w:val="0"/>
                <w:sz w:val="18"/>
              </w:rPr>
              <w:t>18.6%</w:t>
            </w:r>
          </w:p>
        </w:tc>
        <w:tc>
          <w:tcPr>
            <w:tcW w:type="dxa" w:w="1382"/>
          </w:tcPr>
          <w:p>
            <w:pPr>
              <w:spacing w:after="0"/>
            </w:pPr>
            <w:r>
              <w:rPr>
                <w:b/>
                <w:i w:val="0"/>
                <w:sz w:val="18"/>
              </w:rPr>
              <w:t>3.6%</w:t>
            </w:r>
          </w:p>
        </w:tc>
        <w:tc>
          <w:tcPr>
            <w:tcW w:type="dxa" w:w="1222"/>
          </w:tcPr>
          <w:p>
            <w:pPr>
              <w:spacing w:after="0"/>
            </w:pPr>
            <w:r>
              <w:rPr>
                <w:b w:val="0"/>
                <w:i w:val="0"/>
                <w:sz w:val="18"/>
              </w:rPr>
              <w:t>−15.0 points</w:t>
            </w:r>
          </w:p>
        </w:tc>
      </w:tr>
    </w:tbl>
    <w:p>
      <w:pPr>
        <w:spacing w:after="40"/>
      </w:pPr>
    </w:p>
    <w:p>
      <w:r>
        <w:rPr>
          <w:b w:val="0"/>
          <w:i w:val="0"/>
        </w:rPr>
        <w:t>The 90th-percentile wait is the time that one patient in ten waits longer than: the long waits patients remember. The pilot's target is a cut of at least 25%; both datasets show more than that.</w:t>
      </w:r>
    </w:p>
    <w:p>
      <w:pPr>
        <w:pStyle w:val="Heading1"/>
        <w:keepNext/>
      </w:pPr>
      <w:r>
        <w:rPr>
          <w:b w:val="0"/>
          <w:i w:val="0"/>
        </w:rPr>
        <w:t>2. Original dataset: the department's own days</w:t>
      </w:r>
    </w:p>
    <w:p>
      <w:r>
        <w:rPr>
          <w:b/>
          <w:i w:val="0"/>
        </w:rPr>
        <w:t>Without</w:t>
      </w:r>
      <w:r>
        <w:rPr>
          <w:b w:val="0"/>
          <w:i w:val="0"/>
        </w:rPr>
        <w:t xml:space="preserve"> is what the department recorded. </w:t>
      </w:r>
      <w:r>
        <w:rPr>
          <w:b/>
          <w:i w:val="0"/>
        </w:rPr>
        <w:t>With</w:t>
      </w:r>
      <w:r>
        <w:rPr>
          <w:b w:val="0"/>
          <w:i w:val="0"/>
        </w:rPr>
        <w:t xml:space="preserve"> is the same days re-planned by RAD-SMART in the digital twin: the same number of patients, arriving as early or as late as the records show for each hour of the day. We trust the twin because, when it replays today's booking, it gives a 90th-percentile wait of 106.1 minutes against the 108.6 recorded.</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2021"/>
            <w:shd w:val="clear" w:color="auto" w:fill="E8EFF9"/>
          </w:tcPr>
          <w:p>
            <w:pPr>
              <w:spacing w:after="0"/>
            </w:pPr>
            <w:r>
              <w:rPr>
                <w:b/>
                <w:i w:val="0"/>
                <w:sz w:val="18"/>
              </w:rPr>
              <w:t>Day size</w:t>
            </w:r>
          </w:p>
        </w:tc>
        <w:tc>
          <w:tcPr>
            <w:tcW w:type="dxa" w:w="804"/>
            <w:shd w:val="clear" w:color="auto" w:fill="E8EFF9"/>
          </w:tcPr>
          <w:p>
            <w:pPr>
              <w:spacing w:after="0"/>
            </w:pPr>
            <w:r>
              <w:rPr>
                <w:b/>
                <w:i w:val="0"/>
                <w:sz w:val="18"/>
              </w:rPr>
              <w:t>Days</w:t>
            </w:r>
          </w:p>
        </w:tc>
        <w:tc>
          <w:tcPr>
            <w:tcW w:type="dxa" w:w="3369"/>
            <w:shd w:val="clear" w:color="auto" w:fill="E8EFF9"/>
          </w:tcPr>
          <w:p>
            <w:pPr>
              <w:spacing w:after="0"/>
            </w:pPr>
            <w:r>
              <w:rPr>
                <w:b/>
                <w:i w:val="0"/>
                <w:sz w:val="18"/>
              </w:rPr>
              <w:t>90th-percentile wait, without → with</w:t>
            </w:r>
          </w:p>
        </w:tc>
        <w:tc>
          <w:tcPr>
            <w:tcW w:type="dxa" w:w="3444"/>
            <w:shd w:val="clear" w:color="auto" w:fill="E8EFF9"/>
          </w:tcPr>
          <w:p>
            <w:pPr>
              <w:spacing w:after="0"/>
            </w:pPr>
            <w:r>
              <w:rPr>
                <w:b/>
                <w:i w:val="0"/>
                <w:sz w:val="18"/>
              </w:rPr>
              <w:t>More than 1 hour late, without → with</w:t>
            </w:r>
          </w:p>
        </w:tc>
      </w:tr>
      <w:tr>
        <w:tc>
          <w:tcPr>
            <w:tcW w:type="dxa" w:w="2021"/>
          </w:tcPr>
          <w:p>
            <w:pPr>
              <w:spacing w:after="0"/>
            </w:pPr>
            <w:r>
              <w:rPr>
                <w:b w:val="0"/>
                <w:i w:val="0"/>
                <w:sz w:val="18"/>
              </w:rPr>
              <w:t>Up to 44 patients</w:t>
            </w:r>
          </w:p>
        </w:tc>
        <w:tc>
          <w:tcPr>
            <w:tcW w:type="dxa" w:w="804"/>
          </w:tcPr>
          <w:p>
            <w:pPr>
              <w:spacing w:after="0"/>
            </w:pPr>
            <w:r>
              <w:rPr>
                <w:b w:val="0"/>
                <w:i w:val="0"/>
                <w:sz w:val="18"/>
              </w:rPr>
              <w:t>7</w:t>
            </w:r>
          </w:p>
        </w:tc>
        <w:tc>
          <w:tcPr>
            <w:tcW w:type="dxa" w:w="3369"/>
          </w:tcPr>
          <w:p>
            <w:pPr>
              <w:spacing w:after="0"/>
            </w:pPr>
            <w:r>
              <w:rPr>
                <w:b w:val="0"/>
                <w:i w:val="0"/>
                <w:sz w:val="18"/>
              </w:rPr>
              <w:t xml:space="preserve">79 → </w:t>
            </w:r>
            <w:r>
              <w:rPr>
                <w:b/>
                <w:i w:val="0"/>
                <w:sz w:val="18"/>
              </w:rPr>
              <w:t>62 min</w:t>
            </w:r>
            <w:r>
              <w:rPr>
                <w:b w:val="0"/>
                <w:i w:val="0"/>
                <w:sz w:val="18"/>
              </w:rPr>
              <w:t xml:space="preserve"> (−21%)</w:t>
            </w:r>
          </w:p>
        </w:tc>
        <w:tc>
          <w:tcPr>
            <w:tcW w:type="dxa" w:w="3444"/>
          </w:tcPr>
          <w:p>
            <w:pPr>
              <w:spacing w:after="0"/>
            </w:pPr>
            <w:r>
              <w:rPr>
                <w:b w:val="0"/>
                <w:i w:val="0"/>
                <w:sz w:val="18"/>
              </w:rPr>
              <w:t xml:space="preserve">14.5% → </w:t>
            </w:r>
            <w:r>
              <w:rPr>
                <w:b/>
                <w:i w:val="0"/>
                <w:sz w:val="18"/>
              </w:rPr>
              <w:t>4.7%</w:t>
            </w:r>
          </w:p>
        </w:tc>
      </w:tr>
      <w:tr>
        <w:tc>
          <w:tcPr>
            <w:tcW w:type="dxa" w:w="2021"/>
          </w:tcPr>
          <w:p>
            <w:pPr>
              <w:spacing w:after="0"/>
            </w:pPr>
            <w:r>
              <w:rPr>
                <w:b w:val="0"/>
                <w:i w:val="0"/>
                <w:sz w:val="18"/>
              </w:rPr>
              <w:t>45–59 patients</w:t>
            </w:r>
          </w:p>
        </w:tc>
        <w:tc>
          <w:tcPr>
            <w:tcW w:type="dxa" w:w="804"/>
          </w:tcPr>
          <w:p>
            <w:pPr>
              <w:spacing w:after="0"/>
            </w:pPr>
            <w:r>
              <w:rPr>
                <w:b w:val="0"/>
                <w:i w:val="0"/>
                <w:sz w:val="18"/>
              </w:rPr>
              <w:t>20</w:t>
            </w:r>
          </w:p>
        </w:tc>
        <w:tc>
          <w:tcPr>
            <w:tcW w:type="dxa" w:w="3369"/>
          </w:tcPr>
          <w:p>
            <w:pPr>
              <w:spacing w:after="0"/>
            </w:pPr>
            <w:r>
              <w:rPr>
                <w:b w:val="0"/>
                <w:i w:val="0"/>
                <w:sz w:val="18"/>
              </w:rPr>
              <w:t xml:space="preserve">98 → </w:t>
            </w:r>
            <w:r>
              <w:rPr>
                <w:b/>
                <w:i w:val="0"/>
                <w:sz w:val="18"/>
              </w:rPr>
              <w:t>68 min</w:t>
            </w:r>
            <w:r>
              <w:rPr>
                <w:b w:val="0"/>
                <w:i w:val="0"/>
                <w:sz w:val="18"/>
              </w:rPr>
              <w:t xml:space="preserve"> (−31%)</w:t>
            </w:r>
          </w:p>
        </w:tc>
        <w:tc>
          <w:tcPr>
            <w:tcW w:type="dxa" w:w="3444"/>
          </w:tcPr>
          <w:p>
            <w:pPr>
              <w:spacing w:after="0"/>
            </w:pPr>
            <w:r>
              <w:rPr>
                <w:b w:val="0"/>
                <w:i w:val="0"/>
                <w:sz w:val="18"/>
              </w:rPr>
              <w:t xml:space="preserve">21.8% → </w:t>
            </w:r>
            <w:r>
              <w:rPr>
                <w:b/>
                <w:i w:val="0"/>
                <w:sz w:val="18"/>
              </w:rPr>
              <w:t>6.1%</w:t>
            </w:r>
          </w:p>
        </w:tc>
      </w:tr>
      <w:tr>
        <w:tc>
          <w:tcPr>
            <w:tcW w:type="dxa" w:w="2021"/>
          </w:tcPr>
          <w:p>
            <w:pPr>
              <w:spacing w:after="0"/>
            </w:pPr>
            <w:r>
              <w:rPr>
                <w:b w:val="0"/>
                <w:i w:val="0"/>
                <w:sz w:val="18"/>
              </w:rPr>
              <w:t>60–69 patients</w:t>
            </w:r>
          </w:p>
        </w:tc>
        <w:tc>
          <w:tcPr>
            <w:tcW w:type="dxa" w:w="804"/>
          </w:tcPr>
          <w:p>
            <w:pPr>
              <w:spacing w:after="0"/>
            </w:pPr>
            <w:r>
              <w:rPr>
                <w:b w:val="0"/>
                <w:i w:val="0"/>
                <w:sz w:val="18"/>
              </w:rPr>
              <w:t>18</w:t>
            </w:r>
          </w:p>
        </w:tc>
        <w:tc>
          <w:tcPr>
            <w:tcW w:type="dxa" w:w="3369"/>
          </w:tcPr>
          <w:p>
            <w:pPr>
              <w:spacing w:after="0"/>
            </w:pPr>
            <w:r>
              <w:rPr>
                <w:b w:val="0"/>
                <w:i w:val="0"/>
                <w:sz w:val="18"/>
              </w:rPr>
              <w:t xml:space="preserve">110 → </w:t>
            </w:r>
            <w:r>
              <w:rPr>
                <w:b/>
                <w:i w:val="0"/>
                <w:sz w:val="18"/>
              </w:rPr>
              <w:t>70 min</w:t>
            </w:r>
            <w:r>
              <w:rPr>
                <w:b w:val="0"/>
                <w:i w:val="0"/>
                <w:sz w:val="18"/>
              </w:rPr>
              <w:t xml:space="preserve"> (−36%)</w:t>
            </w:r>
          </w:p>
        </w:tc>
        <w:tc>
          <w:tcPr>
            <w:tcW w:type="dxa" w:w="3444"/>
          </w:tcPr>
          <w:p>
            <w:pPr>
              <w:spacing w:after="0"/>
            </w:pPr>
            <w:r>
              <w:rPr>
                <w:b w:val="0"/>
                <w:i w:val="0"/>
                <w:sz w:val="18"/>
              </w:rPr>
              <w:t xml:space="preserve">20.8% → </w:t>
            </w:r>
            <w:r>
              <w:rPr>
                <w:b/>
                <w:i w:val="0"/>
                <w:sz w:val="18"/>
              </w:rPr>
              <w:t>5.8%</w:t>
            </w:r>
          </w:p>
        </w:tc>
      </w:tr>
      <w:tr>
        <w:tc>
          <w:tcPr>
            <w:tcW w:type="dxa" w:w="2021"/>
          </w:tcPr>
          <w:p>
            <w:pPr>
              <w:spacing w:after="0"/>
            </w:pPr>
            <w:r>
              <w:rPr>
                <w:b w:val="0"/>
                <w:i w:val="0"/>
                <w:sz w:val="18"/>
              </w:rPr>
              <w:t>70 or more patients</w:t>
            </w:r>
          </w:p>
        </w:tc>
        <w:tc>
          <w:tcPr>
            <w:tcW w:type="dxa" w:w="804"/>
          </w:tcPr>
          <w:p>
            <w:pPr>
              <w:spacing w:after="0"/>
            </w:pPr>
            <w:r>
              <w:rPr>
                <w:b w:val="0"/>
                <w:i w:val="0"/>
                <w:sz w:val="18"/>
              </w:rPr>
              <w:t>10</w:t>
            </w:r>
          </w:p>
        </w:tc>
        <w:tc>
          <w:tcPr>
            <w:tcW w:type="dxa" w:w="3369"/>
          </w:tcPr>
          <w:p>
            <w:pPr>
              <w:spacing w:after="0"/>
            </w:pPr>
            <w:r>
              <w:rPr>
                <w:b w:val="0"/>
                <w:i w:val="0"/>
                <w:sz w:val="18"/>
              </w:rPr>
              <w:t xml:space="preserve">130 → </w:t>
            </w:r>
            <w:r>
              <w:rPr>
                <w:b/>
                <w:i w:val="0"/>
                <w:sz w:val="18"/>
              </w:rPr>
              <w:t>70 min</w:t>
            </w:r>
            <w:r>
              <w:rPr>
                <w:b w:val="0"/>
                <w:i w:val="0"/>
                <w:sz w:val="18"/>
              </w:rPr>
              <w:t xml:space="preserve"> (−46%)</w:t>
            </w:r>
          </w:p>
        </w:tc>
        <w:tc>
          <w:tcPr>
            <w:tcW w:type="dxa" w:w="3444"/>
          </w:tcPr>
          <w:p>
            <w:pPr>
              <w:spacing w:after="0"/>
            </w:pPr>
            <w:r>
              <w:rPr>
                <w:b w:val="0"/>
                <w:i w:val="0"/>
                <w:sz w:val="18"/>
              </w:rPr>
              <w:t xml:space="preserve">27.4% → </w:t>
            </w:r>
            <w:r>
              <w:rPr>
                <w:b/>
                <w:i w:val="0"/>
                <w:sz w:val="18"/>
              </w:rPr>
              <w:t>5.5%</w:t>
            </w:r>
          </w:p>
        </w:tc>
      </w:tr>
      <w:tr>
        <w:tc>
          <w:tcPr>
            <w:tcW w:type="dxa" w:w="2021"/>
          </w:tcPr>
          <w:p>
            <w:pPr>
              <w:spacing w:after="0"/>
            </w:pPr>
            <w:r>
              <w:rPr>
                <w:b/>
                <w:i w:val="0"/>
                <w:sz w:val="18"/>
              </w:rPr>
              <w:t>All 55 days</w:t>
            </w:r>
          </w:p>
        </w:tc>
        <w:tc>
          <w:tcPr>
            <w:tcW w:type="dxa" w:w="804"/>
          </w:tcPr>
          <w:p>
            <w:pPr>
              <w:spacing w:after="0"/>
            </w:pPr>
            <w:r>
              <w:rPr>
                <w:b w:val="0"/>
                <w:i w:val="0"/>
                <w:sz w:val="18"/>
              </w:rPr>
              <w:t>55</w:t>
            </w:r>
          </w:p>
        </w:tc>
        <w:tc>
          <w:tcPr>
            <w:tcW w:type="dxa" w:w="3369"/>
          </w:tcPr>
          <w:p>
            <w:pPr>
              <w:spacing w:after="0"/>
            </w:pPr>
            <w:r>
              <w:rPr>
                <w:b w:val="0"/>
                <w:i w:val="0"/>
                <w:sz w:val="18"/>
              </w:rPr>
              <w:t xml:space="preserve">108.6 → </w:t>
            </w:r>
            <w:r>
              <w:rPr>
                <w:b/>
                <w:i w:val="0"/>
                <w:sz w:val="18"/>
              </w:rPr>
              <w:t>70.4 min</w:t>
            </w:r>
            <w:r>
              <w:rPr>
                <w:b w:val="0"/>
                <w:i w:val="0"/>
                <w:sz w:val="18"/>
              </w:rPr>
              <w:t xml:space="preserve"> (−35%)</w:t>
            </w:r>
          </w:p>
        </w:tc>
        <w:tc>
          <w:tcPr>
            <w:tcW w:type="dxa" w:w="3444"/>
          </w:tcPr>
          <w:p>
            <w:pPr>
              <w:spacing w:after="0"/>
            </w:pPr>
            <w:r>
              <w:rPr>
                <w:b w:val="0"/>
                <w:i w:val="0"/>
                <w:sz w:val="18"/>
              </w:rPr>
              <w:t xml:space="preserve">22.2% → </w:t>
            </w:r>
            <w:r>
              <w:rPr>
                <w:b/>
                <w:i w:val="0"/>
                <w:sz w:val="18"/>
              </w:rPr>
              <w:t>5.7%</w:t>
            </w:r>
          </w:p>
        </w:tc>
      </w:tr>
    </w:tbl>
    <w:p>
      <w:pPr>
        <w:spacing w:after="40"/>
      </w:pPr>
    </w:p>
    <w:p>
      <w:r>
        <w:rPr>
          <w:b w:val="0"/>
          <w:i w:val="0"/>
        </w:rPr>
        <w:t>Across all 55 days, the median wait goes from 34 to 30 minutes and the share treated within 15 minutes of the appointment from 28.9% to 49.5%.</w:t>
      </w:r>
    </w:p>
    <w:p>
      <w:pPr>
        <w:keepNext/>
        <w:jc w:val="center"/>
      </w:pPr>
      <w:r>
        <w:drawing>
          <wp:inline xmlns:a="http://schemas.openxmlformats.org/drawingml/2006/main" xmlns:pic="http://schemas.openxmlformats.org/drawingml/2006/picture">
            <wp:extent cx="5486400" cy="3288504"/>
            <wp:docPr id="1" name="Picture 1"/>
            <wp:cNvGraphicFramePr>
              <a:graphicFrameLocks noChangeAspect="1"/>
            </wp:cNvGraphicFramePr>
            <a:graphic>
              <a:graphicData uri="http://schemas.openxmlformats.org/drawingml/2006/picture">
                <pic:pic>
                  <pic:nvPicPr>
                    <pic:cNvPr id="0" name="fig7_original_dataset.png"/>
                    <pic:cNvPicPr/>
                  </pic:nvPicPr>
                  <pic:blipFill>
                    <a:blip r:embed="rId10"/>
                    <a:stretch>
                      <a:fillRect/>
                    </a:stretch>
                  </pic:blipFill>
                  <pic:spPr>
                    <a:xfrm>
                      <a:off x="0" y="0"/>
                      <a:ext cx="5486400" cy="3288504"/>
                    </a:xfrm>
                    <a:prstGeom prst="rect"/>
                  </pic:spPr>
                </pic:pic>
              </a:graphicData>
            </a:graphic>
          </wp:inline>
        </w:drawing>
      </w:r>
    </w:p>
    <w:p>
      <w:pPr>
        <w:jc w:val="left"/>
      </w:pPr>
      <w:r>
        <w:rPr>
          <w:b w:val="0"/>
          <w:i w:val="0"/>
          <w:color w:val="52514E"/>
          <w:sz w:val="18"/>
        </w:rPr>
        <w:t>Original dataset. Grey: the recorded 90th-percentile wait. Blue: the same day sizes re-planned by RAD-SMART.</w:t>
      </w:r>
    </w:p>
    <w:p>
      <w:r>
        <w:rPr>
          <w:b/>
          <w:i w:val="0"/>
        </w:rPr>
        <w:t>What this shows.</w:t>
      </w:r>
      <w:r>
        <w:rPr>
          <w:b w:val="0"/>
          <w:i w:val="0"/>
        </w:rPr>
        <w:t xml:space="preserve"> The busier the day, the bigger the gain: today the long waits grow with the size of the day, but with RAD-SMART they stay near 70 minutes. The median moves little because patients are still asked to come 20 minutes early (45 minutes for pelvic patients, to drink water).</w:t>
      </w:r>
    </w:p>
    <w:p>
      <w:r>
        <w:rPr>
          <w:b/>
          <w:i w:val="0"/>
        </w:rPr>
        <w:t>Caveat.</w:t>
      </w:r>
      <w:r>
        <w:rPr>
          <w:b w:val="0"/>
          <w:i w:val="0"/>
        </w:rPr>
        <w:t xml:space="preserve"> "With" is a replay in the digital twin, not a live trial. The 90-day pilot will measure it on real days.</w:t>
      </w:r>
    </w:p>
    <w:p>
      <w:r>
        <w:br w:type="page"/>
      </w:r>
    </w:p>
    <w:p>
      <w:pPr>
        <w:pStyle w:val="Heading1"/>
        <w:keepNext/>
      </w:pPr>
      <w:r>
        <w:rPr>
          <w:b w:val="0"/>
          <w:i w:val="0"/>
        </w:rPr>
        <w:t>3. Simulated dataset: synthetic patients</w:t>
      </w:r>
    </w:p>
    <w:p>
      <w:r>
        <w:rPr>
          <w:b w:val="0"/>
          <w:i w:val="0"/>
        </w:rPr>
        <w:t>Synthetic patients follow the department's rules: new starts before 17:00, standing slots kept for the whole course, the blood-irradiation time, the hospice bus, public transport home by 21:00 and the shared breast board and ABC unit. Both ways of booking face the same patients and the same random events (late arrivals, overruns, urgent starts, imaging holds). A single day is run 300 times; the 12 weeks are 20 evaluation days, each run 15 times.</w:t>
      </w:r>
    </w:p>
    <w:p>
      <w:pPr>
        <w:keepNext/>
        <w:jc w:val="center"/>
      </w:pPr>
      <w:r>
        <w:drawing>
          <wp:inline xmlns:a="http://schemas.openxmlformats.org/drawingml/2006/main" xmlns:pic="http://schemas.openxmlformats.org/drawingml/2006/picture">
            <wp:extent cx="5852160" cy="2872286"/>
            <wp:docPr id="2" name="Picture 2"/>
            <wp:cNvGraphicFramePr>
              <a:graphicFrameLocks noChangeAspect="1"/>
            </wp:cNvGraphicFramePr>
            <a:graphic>
              <a:graphicData uri="http://schemas.openxmlformats.org/drawingml/2006/picture">
                <pic:pic>
                  <pic:nvPicPr>
                    <pic:cNvPr id="0" name="fig8_simulated_dataset.png"/>
                    <pic:cNvPicPr/>
                  </pic:nvPicPr>
                  <pic:blipFill>
                    <a:blip r:embed="rId11"/>
                    <a:stretch>
                      <a:fillRect/>
                    </a:stretch>
                  </pic:blipFill>
                  <pic:spPr>
                    <a:xfrm>
                      <a:off x="0" y="0"/>
                      <a:ext cx="5852160" cy="2872286"/>
                    </a:xfrm>
                    <a:prstGeom prst="rect"/>
                  </pic:spPr>
                </pic:pic>
              </a:graphicData>
            </a:graphic>
          </wp:inline>
        </w:drawing>
      </w:r>
    </w:p>
    <w:p>
      <w:pPr>
        <w:jc w:val="left"/>
      </w:pPr>
      <w:r>
        <w:rPr>
          <w:b w:val="0"/>
          <w:i w:val="0"/>
          <w:color w:val="52514E"/>
          <w:sz w:val="18"/>
        </w:rPr>
        <w:t>Simulated dataset. Grey: today's booking. Blue: RAD-SMART.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928"/>
        <w:gridCol w:w="1928"/>
        <w:gridCol w:w="1928"/>
        <w:gridCol w:w="1928"/>
        <w:gridCol w:w="1928"/>
      </w:tblGrid>
      <w:tr>
        <w:tc>
          <w:tcPr>
            <w:tcW w:type="dxa" w:w="3271"/>
            <w:shd w:val="clear" w:color="auto" w:fill="E8EFF9"/>
          </w:tcPr>
          <w:p>
            <w:pPr>
              <w:spacing w:after="0"/>
            </w:pPr>
            <w:r>
              <w:rPr>
                <w:b/>
                <w:i w:val="0"/>
                <w:sz w:val="18"/>
              </w:rPr>
              <w:t>Scenario</w:t>
            </w:r>
          </w:p>
        </w:tc>
        <w:tc>
          <w:tcPr>
            <w:tcW w:type="dxa" w:w="1224"/>
            <w:shd w:val="clear" w:color="auto" w:fill="E8EFF9"/>
          </w:tcPr>
          <w:p>
            <w:pPr>
              <w:spacing w:after="0"/>
            </w:pPr>
            <w:r>
              <w:rPr>
                <w:b/>
                <w:i w:val="0"/>
                <w:sz w:val="18"/>
              </w:rPr>
              <w:t>Median wait</w:t>
            </w:r>
          </w:p>
        </w:tc>
        <w:tc>
          <w:tcPr>
            <w:tcW w:type="dxa" w:w="1842"/>
            <w:shd w:val="clear" w:color="auto" w:fill="E8EFF9"/>
          </w:tcPr>
          <w:p>
            <w:pPr>
              <w:spacing w:after="0"/>
            </w:pPr>
            <w:r>
              <w:rPr>
                <w:b/>
                <w:i w:val="0"/>
                <w:sz w:val="18"/>
              </w:rPr>
              <w:t>90th-percentile wait</w:t>
            </w:r>
          </w:p>
        </w:tc>
        <w:tc>
          <w:tcPr>
            <w:tcW w:type="dxa" w:w="1385"/>
            <w:shd w:val="clear" w:color="auto" w:fill="E8EFF9"/>
          </w:tcPr>
          <w:p>
            <w:pPr>
              <w:spacing w:after="0"/>
            </w:pPr>
            <w:r>
              <w:rPr>
                <w:b/>
                <w:i w:val="0"/>
                <w:sz w:val="18"/>
              </w:rPr>
              <w:t>Within ±15 min</w:t>
            </w:r>
          </w:p>
        </w:tc>
        <w:tc>
          <w:tcPr>
            <w:tcW w:type="dxa" w:w="1915"/>
            <w:shd w:val="clear" w:color="auto" w:fill="E8EFF9"/>
          </w:tcPr>
          <w:p>
            <w:pPr>
              <w:spacing w:after="0"/>
            </w:pPr>
            <w:r>
              <w:rPr>
                <w:b/>
                <w:i w:val="0"/>
                <w:sz w:val="18"/>
              </w:rPr>
              <w:t>More than 1 hour late</w:t>
            </w:r>
          </w:p>
        </w:tc>
      </w:tr>
      <w:tr>
        <w:tc>
          <w:tcPr>
            <w:tcW w:type="dxa" w:w="3271"/>
          </w:tcPr>
          <w:p>
            <w:pPr>
              <w:spacing w:after="0"/>
            </w:pPr>
            <w:r>
              <w:rPr>
                <w:b w:val="0"/>
                <w:i w:val="0"/>
                <w:sz w:val="18"/>
              </w:rPr>
              <w:t>12 weeks, standing slots (about 63 a day)</w:t>
            </w:r>
          </w:p>
        </w:tc>
        <w:tc>
          <w:tcPr>
            <w:tcW w:type="dxa" w:w="1224"/>
          </w:tcPr>
          <w:p>
            <w:pPr>
              <w:spacing w:after="0"/>
            </w:pPr>
            <w:r>
              <w:rPr>
                <w:b w:val="0"/>
                <w:i w:val="0"/>
                <w:sz w:val="18"/>
              </w:rPr>
              <w:t xml:space="preserve">40 → </w:t>
            </w:r>
            <w:r>
              <w:rPr>
                <w:b/>
                <w:i w:val="0"/>
                <w:sz w:val="18"/>
              </w:rPr>
              <w:t>20 min</w:t>
            </w:r>
          </w:p>
        </w:tc>
        <w:tc>
          <w:tcPr>
            <w:tcW w:type="dxa" w:w="1842"/>
          </w:tcPr>
          <w:p>
            <w:pPr>
              <w:spacing w:after="0"/>
            </w:pPr>
            <w:r>
              <w:rPr>
                <w:b w:val="0"/>
                <w:i w:val="0"/>
                <w:sz w:val="18"/>
              </w:rPr>
              <w:t xml:space="preserve">82 → </w:t>
            </w:r>
            <w:r>
              <w:rPr>
                <w:b/>
                <w:i w:val="0"/>
                <w:sz w:val="18"/>
              </w:rPr>
              <w:t>49 min</w:t>
            </w:r>
            <w:r>
              <w:rPr>
                <w:b w:val="0"/>
                <w:i w:val="0"/>
                <w:sz w:val="18"/>
              </w:rPr>
              <w:t xml:space="preserve"> (−40%)</w:t>
            </w:r>
          </w:p>
        </w:tc>
        <w:tc>
          <w:tcPr>
            <w:tcW w:type="dxa" w:w="1385"/>
          </w:tcPr>
          <w:p>
            <w:pPr>
              <w:spacing w:after="0"/>
            </w:pPr>
            <w:r>
              <w:rPr>
                <w:b w:val="0"/>
                <w:i w:val="0"/>
                <w:sz w:val="18"/>
              </w:rPr>
              <w:t xml:space="preserve">26% → </w:t>
            </w:r>
            <w:r>
              <w:rPr>
                <w:b/>
                <w:i w:val="0"/>
                <w:sz w:val="18"/>
              </w:rPr>
              <w:t>36%</w:t>
            </w:r>
          </w:p>
        </w:tc>
        <w:tc>
          <w:tcPr>
            <w:tcW w:type="dxa" w:w="1915"/>
          </w:tcPr>
          <w:p>
            <w:pPr>
              <w:spacing w:after="0"/>
            </w:pPr>
            <w:r>
              <w:rPr>
                <w:b w:val="0"/>
                <w:i w:val="0"/>
                <w:sz w:val="18"/>
              </w:rPr>
              <w:t xml:space="preserve">19% → </w:t>
            </w:r>
            <w:r>
              <w:rPr>
                <w:b/>
                <w:i w:val="0"/>
                <w:sz w:val="18"/>
              </w:rPr>
              <w:t>4%</w:t>
            </w:r>
          </w:p>
        </w:tc>
      </w:tr>
      <w:tr>
        <w:tc>
          <w:tcPr>
            <w:tcW w:type="dxa" w:w="3271"/>
          </w:tcPr>
          <w:p>
            <w:pPr>
              <w:spacing w:after="0"/>
            </w:pPr>
            <w:r>
              <w:rPr>
                <w:b w:val="0"/>
                <w:i w:val="0"/>
                <w:sz w:val="18"/>
              </w:rPr>
              <w:t>One busy day, 87 patients</w:t>
            </w:r>
          </w:p>
        </w:tc>
        <w:tc>
          <w:tcPr>
            <w:tcW w:type="dxa" w:w="1224"/>
          </w:tcPr>
          <w:p>
            <w:pPr>
              <w:spacing w:after="0"/>
            </w:pPr>
            <w:r>
              <w:rPr>
                <w:b w:val="0"/>
                <w:i w:val="0"/>
                <w:sz w:val="18"/>
              </w:rPr>
              <w:t xml:space="preserve">133 → </w:t>
            </w:r>
            <w:r>
              <w:rPr>
                <w:b/>
                <w:i w:val="0"/>
                <w:sz w:val="18"/>
              </w:rPr>
              <w:t>36 min</w:t>
            </w:r>
          </w:p>
        </w:tc>
        <w:tc>
          <w:tcPr>
            <w:tcW w:type="dxa" w:w="1842"/>
          </w:tcPr>
          <w:p>
            <w:pPr>
              <w:spacing w:after="0"/>
            </w:pPr>
            <w:r>
              <w:rPr>
                <w:b w:val="0"/>
                <w:i w:val="0"/>
                <w:sz w:val="18"/>
              </w:rPr>
              <w:t xml:space="preserve">210 → </w:t>
            </w:r>
            <w:r>
              <w:rPr>
                <w:b/>
                <w:i w:val="0"/>
                <w:sz w:val="18"/>
              </w:rPr>
              <w:t>76 min</w:t>
            </w:r>
            <w:r>
              <w:rPr>
                <w:b w:val="0"/>
                <w:i w:val="0"/>
                <w:sz w:val="18"/>
              </w:rPr>
              <w:t xml:space="preserve"> (−64%)</w:t>
            </w:r>
          </w:p>
        </w:tc>
        <w:tc>
          <w:tcPr>
            <w:tcW w:type="dxa" w:w="1385"/>
          </w:tcPr>
          <w:p>
            <w:pPr>
              <w:spacing w:after="0"/>
            </w:pPr>
            <w:r>
              <w:rPr>
                <w:b w:val="0"/>
                <w:i w:val="0"/>
                <w:sz w:val="18"/>
              </w:rPr>
              <w:t xml:space="preserve">10% → </w:t>
            </w:r>
            <w:r>
              <w:rPr>
                <w:b/>
                <w:i w:val="0"/>
                <w:sz w:val="18"/>
              </w:rPr>
              <w:t>53%</w:t>
            </w:r>
          </w:p>
        </w:tc>
        <w:tc>
          <w:tcPr>
            <w:tcW w:type="dxa" w:w="1915"/>
          </w:tcPr>
          <w:p>
            <w:pPr>
              <w:spacing w:after="0"/>
            </w:pPr>
            <w:r>
              <w:rPr>
                <w:b w:val="0"/>
                <w:i w:val="0"/>
                <w:sz w:val="18"/>
              </w:rPr>
              <w:t xml:space="preserve">66% → </w:t>
            </w:r>
            <w:r>
              <w:rPr>
                <w:b/>
                <w:i w:val="0"/>
                <w:sz w:val="18"/>
              </w:rPr>
              <w:t>6%</w:t>
            </w:r>
          </w:p>
        </w:tc>
      </w:tr>
      <w:tr>
        <w:tc>
          <w:tcPr>
            <w:tcW w:type="dxa" w:w="3271"/>
          </w:tcPr>
          <w:p>
            <w:pPr>
              <w:spacing w:after="0"/>
            </w:pPr>
            <w:r>
              <w:rPr>
                <w:b w:val="0"/>
                <w:i w:val="0"/>
                <w:sz w:val="18"/>
              </w:rPr>
              <w:t>45-min breakdown at 11:00</w:t>
            </w:r>
          </w:p>
        </w:tc>
        <w:tc>
          <w:tcPr>
            <w:tcW w:type="dxa" w:w="1224"/>
          </w:tcPr>
          <w:p>
            <w:pPr>
              <w:spacing w:after="0"/>
            </w:pPr>
            <w:r>
              <w:rPr>
                <w:b w:val="0"/>
                <w:i w:val="0"/>
                <w:sz w:val="18"/>
              </w:rPr>
              <w:t xml:space="preserve">177 → </w:t>
            </w:r>
            <w:r>
              <w:rPr>
                <w:b/>
                <w:i w:val="0"/>
                <w:sz w:val="18"/>
              </w:rPr>
              <w:t>37 min</w:t>
            </w:r>
          </w:p>
        </w:tc>
        <w:tc>
          <w:tcPr>
            <w:tcW w:type="dxa" w:w="1842"/>
          </w:tcPr>
          <w:p>
            <w:pPr>
              <w:spacing w:after="0"/>
            </w:pPr>
            <w:r>
              <w:rPr>
                <w:b w:val="0"/>
                <w:i w:val="0"/>
                <w:sz w:val="18"/>
              </w:rPr>
              <w:t xml:space="preserve">257 → </w:t>
            </w:r>
            <w:r>
              <w:rPr>
                <w:b/>
                <w:i w:val="0"/>
                <w:sz w:val="18"/>
              </w:rPr>
              <w:t>81 min</w:t>
            </w:r>
            <w:r>
              <w:rPr>
                <w:b w:val="0"/>
                <w:i w:val="0"/>
                <w:sz w:val="18"/>
              </w:rPr>
              <w:t xml:space="preserve"> (−69%)</w:t>
            </w:r>
          </w:p>
        </w:tc>
        <w:tc>
          <w:tcPr>
            <w:tcW w:type="dxa" w:w="1385"/>
          </w:tcPr>
          <w:p>
            <w:pPr>
              <w:spacing w:after="0"/>
            </w:pPr>
            <w:r>
              <w:rPr>
                <w:b w:val="0"/>
                <w:i w:val="0"/>
                <w:sz w:val="18"/>
              </w:rPr>
              <w:t xml:space="preserve">8% → </w:t>
            </w:r>
            <w:r>
              <w:rPr>
                <w:b/>
                <w:i w:val="0"/>
                <w:sz w:val="18"/>
              </w:rPr>
              <w:t>50%</w:t>
            </w:r>
          </w:p>
        </w:tc>
        <w:tc>
          <w:tcPr>
            <w:tcW w:type="dxa" w:w="1915"/>
          </w:tcPr>
          <w:p>
            <w:pPr>
              <w:spacing w:after="0"/>
            </w:pPr>
            <w:r>
              <w:rPr>
                <w:b w:val="0"/>
                <w:i w:val="0"/>
                <w:sz w:val="18"/>
              </w:rPr>
              <w:t xml:space="preserve">74% → </w:t>
            </w:r>
            <w:r>
              <w:rPr>
                <w:b/>
                <w:i w:val="0"/>
                <w:sz w:val="18"/>
              </w:rPr>
              <w:t>8%</w:t>
            </w:r>
          </w:p>
        </w:tc>
      </w:tr>
      <w:tr>
        <w:tc>
          <w:tcPr>
            <w:tcW w:type="dxa" w:w="3271"/>
          </w:tcPr>
          <w:p>
            <w:pPr>
              <w:spacing w:after="0"/>
            </w:pPr>
            <w:r>
              <w:rPr>
                <w:b w:val="0"/>
                <w:i w:val="0"/>
                <w:sz w:val="18"/>
              </w:rPr>
              <w:t>150-min breakdown at 10:00</w:t>
            </w:r>
          </w:p>
        </w:tc>
        <w:tc>
          <w:tcPr>
            <w:tcW w:type="dxa" w:w="1224"/>
          </w:tcPr>
          <w:p>
            <w:pPr>
              <w:spacing w:after="0"/>
            </w:pPr>
            <w:r>
              <w:rPr>
                <w:b w:val="0"/>
                <w:i w:val="0"/>
                <w:sz w:val="18"/>
              </w:rPr>
              <w:t xml:space="preserve">280 → </w:t>
            </w:r>
            <w:r>
              <w:rPr>
                <w:b/>
                <w:i w:val="0"/>
                <w:sz w:val="18"/>
              </w:rPr>
              <w:t>39 min</w:t>
            </w:r>
          </w:p>
        </w:tc>
        <w:tc>
          <w:tcPr>
            <w:tcW w:type="dxa" w:w="1842"/>
          </w:tcPr>
          <w:p>
            <w:pPr>
              <w:spacing w:after="0"/>
            </w:pPr>
            <w:r>
              <w:rPr>
                <w:b w:val="0"/>
                <w:i w:val="0"/>
                <w:sz w:val="18"/>
              </w:rPr>
              <w:t xml:space="preserve">358 → </w:t>
            </w:r>
            <w:r>
              <w:rPr>
                <w:b/>
                <w:i w:val="0"/>
                <w:sz w:val="18"/>
              </w:rPr>
              <w:t>110 min</w:t>
            </w:r>
            <w:r>
              <w:rPr>
                <w:b w:val="0"/>
                <w:i w:val="0"/>
                <w:sz w:val="18"/>
              </w:rPr>
              <w:t xml:space="preserve"> (−69%)</w:t>
            </w:r>
          </w:p>
        </w:tc>
        <w:tc>
          <w:tcPr>
            <w:tcW w:type="dxa" w:w="1385"/>
          </w:tcPr>
          <w:p>
            <w:pPr>
              <w:spacing w:after="0"/>
            </w:pPr>
            <w:r>
              <w:rPr>
                <w:b w:val="0"/>
                <w:i w:val="0"/>
                <w:sz w:val="18"/>
              </w:rPr>
              <w:t xml:space="preserve">7% → </w:t>
            </w:r>
            <w:r>
              <w:rPr>
                <w:b/>
                <w:i w:val="0"/>
                <w:sz w:val="18"/>
              </w:rPr>
              <w:t>47%</w:t>
            </w:r>
          </w:p>
        </w:tc>
        <w:tc>
          <w:tcPr>
            <w:tcW w:type="dxa" w:w="1915"/>
          </w:tcPr>
          <w:p>
            <w:pPr>
              <w:spacing w:after="0"/>
            </w:pPr>
            <w:r>
              <w:rPr>
                <w:b w:val="0"/>
                <w:i w:val="0"/>
                <w:sz w:val="18"/>
              </w:rPr>
              <w:t xml:space="preserve">83% → </w:t>
            </w:r>
            <w:r>
              <w:rPr>
                <w:b/>
                <w:i w:val="0"/>
                <w:sz w:val="18"/>
              </w:rPr>
              <w:t>14%</w:t>
            </w:r>
          </w:p>
        </w:tc>
      </w:tr>
    </w:tbl>
    <w:p>
      <w:pPr>
        <w:spacing w:after="40"/>
      </w:pPr>
    </w:p>
    <w:p>
      <w:r>
        <w:rPr>
          <w:b/>
          <w:i w:val="0"/>
        </w:rPr>
        <w:t>The 12 weeks</w:t>
      </w:r>
      <w:r>
        <w:rPr>
          <w:b w:val="0"/>
          <w:i w:val="0"/>
        </w:rPr>
        <w:t xml:space="preserve"> is the fairest test, because the department keeps each patient's slot for the whole course. New patients arrive every working day and RAD-SMART gives each one a new-start slot before 17:00 and one standing slot that is free on every treatment date. No hard rule was broken on any day.</w:t>
      </w:r>
    </w:p>
    <w:p>
      <w:r>
        <w:rPr>
          <w:b/>
          <w:i w:val="0"/>
        </w:rPr>
        <w:t>The 87-patient day</w:t>
      </w:r>
      <w:r>
        <w:rPr>
          <w:b w:val="0"/>
          <w:i w:val="0"/>
        </w:rPr>
        <w:t xml:space="preserve"> is 10 more patients than the busiest recorded day. Today's way of booking gives too many patients the same time, so the queue builds all day.</w:t>
      </w:r>
    </w:p>
    <w:p>
      <w:r>
        <w:rPr>
          <w:b/>
          <w:i w:val="0"/>
        </w:rPr>
        <w:t>The breakdowns</w:t>
      </w:r>
      <w:r>
        <w:rPr>
          <w:b w:val="0"/>
          <w:i w:val="0"/>
        </w:rPr>
        <w:t xml:space="preserve"> follow the department's rules of 24 October:</w:t>
      </w:r>
    </w:p>
    <w:p>
      <w:pPr>
        <w:tabs>
          <w:tab w:pos="340" w:val="left"/>
        </w:tabs>
        <w:spacing w:after="40"/>
        <w:ind w:left="340" w:hanging="255"/>
      </w:pPr>
      <w:r>
        <w:rPr>
          <w:color w:val="1C5CAB"/>
        </w:rPr>
        <w:t>•</w:t>
        <w:tab/>
      </w:r>
      <w:r>
        <w:rPr>
          <w:b/>
          <w:i w:val="0"/>
        </w:rPr>
        <w:t>45 minutes:</w:t>
      </w:r>
      <w:r>
        <w:rPr>
          <w:b w:val="0"/>
          <w:i w:val="0"/>
        </w:rPr>
        <w:t xml:space="preserve"> nobody is sent home. The machine is back at 11:45, everyone is treated today with 8 minutes of overtime, 38 patients get a new time (those not yet travelling are told before they leave home), and 1 new start moves to the next working day.</w:t>
      </w:r>
    </w:p>
    <w:p>
      <w:pPr>
        <w:tabs>
          <w:tab w:pos="340" w:val="left"/>
        </w:tabs>
        <w:spacing w:after="40"/>
        <w:ind w:left="340" w:hanging="255"/>
      </w:pPr>
      <w:r>
        <w:rPr>
          <w:color w:val="1C5CAB"/>
        </w:rPr>
        <w:t>•</w:t>
        <w:tab/>
      </w:r>
      <w:r>
        <w:rPr>
          <w:b/>
          <w:i w:val="0"/>
        </w:rPr>
        <w:t>150 minutes:</w:t>
      </w:r>
      <w:r>
        <w:rPr>
          <w:b w:val="0"/>
          <w:i w:val="0"/>
        </w:rPr>
        <w:t xml:space="preserve"> the machine is back at 12:30. Everyone else is treated today with 50 minutes of overtime, 58 patients get a new time, 1 patient who had not left home is sent back (the fraction is added at the end of the course), and 2 new starts move to the next working day.</w:t>
      </w:r>
    </w:p>
    <w:p>
      <w:r>
        <w:rPr>
          <w:b w:val="0"/>
          <w:i w:val="0"/>
        </w:rPr>
        <w:t>In both cases RAD-SMART re-planned in 10–14 seconds, the independent checker found no broken rule, and a technologist or doctor approves the response before anything changes.</w:t>
      </w:r>
    </w:p>
    <w:p>
      <w:pPr>
        <w:pStyle w:val="Heading1"/>
        <w:keepNext/>
      </w:pPr>
      <w:r>
        <w:rPr>
          <w:b w:val="0"/>
          <w:i w:val="0"/>
        </w:rPr>
        <w:t>4. What it costs</w:t>
      </w:r>
    </w:p>
    <w:p>
      <w:r>
        <w:rPr>
          <w:b w:val="0"/>
          <w:i w:val="0"/>
        </w:rPr>
        <w:t>The gains are not free. In the 12 weeks:</w:t>
      </w:r>
    </w:p>
    <w:p>
      <w:pPr>
        <w:tabs>
          <w:tab w:pos="340" w:val="left"/>
        </w:tabs>
        <w:spacing w:after="40"/>
        <w:ind w:left="340" w:hanging="255"/>
      </w:pPr>
      <w:r>
        <w:rPr>
          <w:color w:val="1C5CAB"/>
        </w:rPr>
        <w:t>•</w:t>
        <w:tab/>
      </w:r>
      <w:r>
        <w:rPr>
          <w:b/>
          <w:i w:val="0"/>
        </w:rPr>
        <w:t>The evening runs later.</w:t>
      </w:r>
      <w:r>
        <w:rPr>
          <w:b w:val="0"/>
          <w:i w:val="0"/>
        </w:rPr>
        <w:t xml:space="preserve"> The last patient finishes at about 00:07 instead of 21:55, still inside the department's hours (until about 01:00). Patients are spread out instead of being given the same time, and time before 17:00 is kept for new starts, so more patients are treated in the evening. About 6 patients a day who do not rely on public transport finish after 21:00.</w:t>
      </w:r>
    </w:p>
    <w:p>
      <w:pPr>
        <w:tabs>
          <w:tab w:pos="340" w:val="left"/>
        </w:tabs>
        <w:spacing w:after="40"/>
        <w:ind w:left="340" w:hanging="255"/>
      </w:pPr>
      <w:r>
        <w:rPr>
          <w:color w:val="1C5CAB"/>
        </w:rPr>
        <w:t>•</w:t>
        <w:tab/>
      </w:r>
      <w:r>
        <w:rPr>
          <w:b/>
          <w:i w:val="0"/>
        </w:rPr>
        <w:t>Some new starts wait.</w:t>
      </w:r>
      <w:r>
        <w:rPr>
          <w:b w:val="0"/>
          <w:i w:val="0"/>
        </w:rPr>
        <w:t xml:space="preserve"> 22% of new patients start later than they would today, by 0.4 working days on average, because a standing slot must be free on every day of the course.</w:t>
      </w:r>
    </w:p>
    <w:p>
      <w:pPr>
        <w:tabs>
          <w:tab w:pos="340" w:val="left"/>
        </w:tabs>
        <w:spacing w:after="40"/>
        <w:ind w:left="340" w:hanging="255"/>
      </w:pPr>
      <w:r>
        <w:rPr>
          <w:color w:val="1C5CAB"/>
        </w:rPr>
        <w:t>•</w:t>
        <w:tab/>
      </w:r>
      <w:r>
        <w:rPr>
          <w:b/>
          <w:i w:val="0"/>
        </w:rPr>
        <w:t>Preferred times are harder to give.</w:t>
      </w:r>
      <w:r>
        <w:rPr>
          <w:b w:val="0"/>
          <w:i w:val="0"/>
        </w:rPr>
        <w:t xml:space="preserve"> Patients who ask for a particular time are treated within 15 minutes of it 4% of the time, against 31% today. Today they are given the time they ask for but then wait in the queue; with standing slots the time must be free on every day of the course. A slot-change request moves them when a nearer slot frees up.</w:t>
      </w:r>
    </w:p>
    <w:p>
      <w:pPr>
        <w:tabs>
          <w:tab w:pos="340" w:val="left"/>
        </w:tabs>
        <w:spacing w:after="40"/>
        <w:ind w:left="340" w:hanging="255"/>
      </w:pPr>
      <w:r>
        <w:rPr>
          <w:color w:val="1C5CAB"/>
        </w:rPr>
        <w:t>•</w:t>
        <w:tab/>
      </w:r>
      <w:r>
        <w:rPr>
          <w:b/>
          <w:i w:val="0"/>
        </w:rPr>
        <w:t>Overtime.</w:t>
      </w:r>
      <w:r>
        <w:rPr>
          <w:b w:val="0"/>
          <w:i w:val="0"/>
        </w:rPr>
        <w:t xml:space="preserve"> 8 minutes a day on average; up to 50 minutes on a breakdown day (the department's rule allows 60).</w:t>
      </w:r>
    </w:p>
    <w:p>
      <w:pPr>
        <w:pStyle w:val="Heading1"/>
        <w:keepNext/>
      </w:pPr>
      <w:r>
        <w:rPr>
          <w:b w:val="0"/>
          <w:i w:val="0"/>
        </w:rPr>
        <w:t>5. Bottom line</w:t>
      </w:r>
    </w:p>
    <w:p>
      <w:pPr>
        <w:tabs>
          <w:tab w:pos="340" w:val="left"/>
        </w:tabs>
        <w:spacing w:after="40"/>
        <w:ind w:left="340" w:hanging="255"/>
      </w:pPr>
      <w:r>
        <w:rPr>
          <w:color w:val="1C5CAB"/>
        </w:rPr>
        <w:t>•</w:t>
        <w:tab/>
      </w:r>
      <w:r>
        <w:rPr>
          <w:b/>
          <w:i w:val="0"/>
        </w:rPr>
        <w:t>On the department's own days</w:t>
      </w:r>
      <w:r>
        <w:rPr>
          <w:b w:val="0"/>
          <w:i w:val="0"/>
        </w:rPr>
        <w:t>, RAD-SMART cuts the 90th-percentile wait by 35% (108.6 → 70.4 minutes) and the share treated more than an hour late from 22% to 6%. The busiest days gain the most (−46%).</w:t>
      </w:r>
    </w:p>
    <w:p>
      <w:pPr>
        <w:tabs>
          <w:tab w:pos="340" w:val="left"/>
        </w:tabs>
        <w:spacing w:after="40"/>
        <w:ind w:left="340" w:hanging="255"/>
      </w:pPr>
      <w:r>
        <w:rPr>
          <w:color w:val="1C5CAB"/>
        </w:rPr>
        <w:t>•</w:t>
        <w:tab/>
      </w:r>
      <w:r>
        <w:rPr>
          <w:b/>
          <w:i w:val="0"/>
        </w:rPr>
        <w:t>On synthetic weeks with standing slots</w:t>
      </w:r>
      <w:r>
        <w:rPr>
          <w:b w:val="0"/>
          <w:i w:val="0"/>
        </w:rPr>
        <w:t>, it cuts the 90th-percentile wait by 40% (82 → 49 minutes), and on breakdown days by 69%.</w:t>
      </w:r>
    </w:p>
    <w:p>
      <w:pPr>
        <w:tabs>
          <w:tab w:pos="340" w:val="left"/>
        </w:tabs>
        <w:spacing w:after="40"/>
        <w:ind w:left="340" w:hanging="255"/>
      </w:pPr>
      <w:r>
        <w:rPr>
          <w:color w:val="1C5CAB"/>
        </w:rPr>
        <w:t>•</w:t>
        <w:tab/>
      </w:r>
      <w:r>
        <w:rPr>
          <w:b/>
          <w:i w:val="0"/>
        </w:rPr>
        <w:t>The price</w:t>
      </w:r>
      <w:r>
        <w:rPr>
          <w:b w:val="0"/>
          <w:i w:val="0"/>
        </w:rPr>
        <w:t xml:space="preserve"> is a later evening, a short delay for one new start in five, fewer preferred times and a few minutes of overtime. The department decides whether that trade is worth it; the pilot measures it.</w:t>
      </w:r>
    </w:p>
    <w:p>
      <w:r>
        <w:rPr>
          <w:b w:val="0"/>
          <w:i w:val="0"/>
        </w:rPr>
        <w:t xml:space="preserve">Figures and numbers come from </w:t>
      </w:r>
      <w:r>
        <w:rPr>
          <w:rFonts w:ascii="Consolas" w:hAnsi="Consolas"/>
          <w:b w:val="0"/>
          <w:i w:val="0"/>
          <w:sz w:val="18"/>
        </w:rPr>
        <w:t>poc/run_poc.py</w:t>
      </w:r>
      <w:r>
        <w:rPr>
          <w:b w:val="0"/>
          <w:i w:val="0"/>
        </w:rPr>
        <w:t xml:space="preserve">; see </w:t>
      </w:r>
      <w:r>
        <w:rPr>
          <w:rFonts w:ascii="Consolas" w:hAnsi="Consolas"/>
          <w:b w:val="0"/>
          <w:i w:val="0"/>
          <w:sz w:val="18"/>
        </w:rPr>
        <w:t>poc/results/results.json</w:t>
      </w:r>
      <w:r>
        <w:rPr>
          <w:b w:val="0"/>
          <w:i w:val="0"/>
        </w:rPr>
        <w:t xml:space="preserve"> (sections </w:t>
      </w:r>
      <w:r>
        <w:rPr>
          <w:rFonts w:ascii="Consolas" w:hAnsi="Consolas"/>
          <w:b w:val="0"/>
          <w:i w:val="0"/>
          <w:sz w:val="18"/>
        </w:rPr>
        <w:t>analysis</w:t>
      </w:r>
      <w:r>
        <w:rPr>
          <w:b w:val="0"/>
          <w:i w:val="0"/>
        </w:rPr>
        <w:t xml:space="preserve">, </w:t>
      </w:r>
      <w:r>
        <w:rPr>
          <w:rFonts w:ascii="Consolas" w:hAnsi="Consolas"/>
          <w:b w:val="0"/>
          <w:i w:val="0"/>
          <w:sz w:val="18"/>
        </w:rPr>
        <w:t>validation</w:t>
      </w:r>
      <w:r>
        <w:rPr>
          <w:b w:val="0"/>
          <w:i w:val="0"/>
        </w:rPr>
        <w:t xml:space="preserve">, </w:t>
      </w:r>
      <w:r>
        <w:rPr>
          <w:rFonts w:ascii="Consolas" w:hAnsi="Consolas"/>
          <w:b w:val="0"/>
          <w:i w:val="0"/>
          <w:sz w:val="18"/>
        </w:rPr>
        <w:t>weeks</w:t>
      </w:r>
      <w:r>
        <w:rPr>
          <w:b w:val="0"/>
          <w:i w:val="0"/>
        </w:rPr>
        <w:t xml:space="preserve"> and </w:t>
      </w:r>
      <w:r>
        <w:rPr>
          <w:rFonts w:ascii="Consolas" w:hAnsi="Consolas"/>
          <w:b w:val="0"/>
          <w:i w:val="0"/>
          <w:sz w:val="18"/>
        </w:rPr>
        <w:t>disruption</w:t>
      </w:r>
      <w:r>
        <w:rPr>
          <w:b w:val="0"/>
          <w:i w:val="0"/>
        </w:rPr>
        <w: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RAD-SMART · Health-a-thon 2026   ·   page </w:t>
    </w:r>
    <w:r>
      <w:rPr>
        <w:color w:val="52514E"/>
        <w:sz w:val="16"/>
      </w:rPr>
      <w:fldChar w:fldCharType="begin"/>
    </w:r>
    <w:r>
      <w:rPr>
        <w:color w:val="52514E"/>
        <w:sz w:val="16"/>
      </w:rPr>
      <w:instrText xml:space="preserve">PAGE</w:instrText>
    </w:r>
    <w:r>
      <w:rPr>
        <w:color w:val="52514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0B0B0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