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ОТЧЕТ ПО ЛАБОРАТОРНОЙ РАБОТЕ №7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архитектуры программного средства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12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</w:tcPr>
          <w:p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>
            <w:pPr>
              <w:spacing w:line="360" w:lineRule="auto"/>
              <w:ind w:right="-1" w:firstLine="9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П.Р.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Симонян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</w:tcPr>
          <w:p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Е.А. Митрошенкова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Theme="minorHAnsi" w:hAnsiTheme="minorHAnsi" w:eastAsia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/>
          <w:color w:val="auto"/>
          <w:sz w:val="28"/>
          <w:szCs w:val="22"/>
          <w:lang w:eastAsia="en-US"/>
        </w:rPr>
      </w:sdtEndPr>
      <w:sdtContent>
        <w:p>
          <w:pPr>
            <w:pStyle w:val="16"/>
            <w:jc w:val="center"/>
            <w:rPr>
              <w:b w:val="0"/>
              <w:color w:val="auto"/>
            </w:rPr>
          </w:pPr>
          <w:r>
            <w:rPr>
              <w:b w:val="0"/>
              <w:color w:val="auto"/>
            </w:rPr>
            <w:t>Оглавление</w:t>
          </w:r>
        </w:p>
        <w:p>
          <w:pPr>
            <w:pStyle w:val="8"/>
            <w:tabs>
              <w:tab w:val="right" w:leader="dot" w:pos="9638"/>
            </w:tabs>
          </w:pPr>
          <w:r>
            <w:rPr>
              <w:b/>
              <w:bCs/>
              <w:sz w:val="24"/>
            </w:rPr>
            <w:fldChar w:fldCharType="begin"/>
          </w:r>
          <w:r>
            <w:rPr>
              <w:b/>
              <w:bCs/>
              <w:sz w:val="24"/>
            </w:rPr>
            <w:instrText xml:space="preserve"> TOC \o "1-3" \h \z \u </w:instrText>
          </w:r>
          <w:r>
            <w:rPr>
              <w:b/>
              <w:bCs/>
              <w:sz w:val="24"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_Toc14092 </w:instrText>
          </w:r>
          <w:r>
            <w:rPr>
              <w:bCs/>
            </w:rPr>
            <w:fldChar w:fldCharType="separate"/>
          </w:r>
          <w:r>
            <w:t>1. Тема</w:t>
          </w:r>
          <w:r>
            <w:tab/>
          </w:r>
          <w:r>
            <w:fldChar w:fldCharType="begin"/>
          </w:r>
          <w:r>
            <w:instrText xml:space="preserve"> PAGEREF _Toc14092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_Toc12382 </w:instrText>
          </w:r>
          <w:r>
            <w:rPr>
              <w:bCs/>
            </w:rPr>
            <w:fldChar w:fldCharType="separate"/>
          </w:r>
          <w:r>
            <w:t>2. Постановка задачи</w:t>
          </w:r>
          <w:r>
            <w:tab/>
          </w:r>
          <w:r>
            <w:fldChar w:fldCharType="begin"/>
          </w:r>
          <w:r>
            <w:instrText xml:space="preserve"> PAGEREF _Toc12382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_Toc3408 </w:instrText>
          </w:r>
          <w:r>
            <w:rPr>
              <w:bCs/>
            </w:rPr>
            <w:fldChar w:fldCharType="separate"/>
          </w:r>
          <w:r>
            <w:t>3. Диаграмма деятельности</w:t>
          </w:r>
          <w:r>
            <w:tab/>
          </w:r>
          <w:r>
            <w:fldChar w:fldCharType="begin"/>
          </w:r>
          <w:r>
            <w:instrText xml:space="preserve"> PAGEREF _Toc3408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_Toc17971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</w:t>
          </w:r>
          <w:r>
            <w:t xml:space="preserve">. Диаграмма </w:t>
          </w:r>
          <w:r>
            <w:rPr>
              <w:lang w:val="ru-RU"/>
            </w:rPr>
            <w:t>состояний</w:t>
          </w:r>
          <w:r>
            <w:tab/>
          </w:r>
          <w:r>
            <w:fldChar w:fldCharType="begin"/>
          </w:r>
          <w:r>
            <w:instrText xml:space="preserve"> PAGEREF _Toc17971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638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_Toc27921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5</w:t>
          </w:r>
          <w:r>
            <w:t>. Ответы на контрольные вопросы</w:t>
          </w:r>
          <w:r>
            <w:tab/>
          </w:r>
          <w:r>
            <w:fldChar w:fldCharType="begin"/>
          </w:r>
          <w:r>
            <w:instrText xml:space="preserve"> PAGEREF _Toc27921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jc w:val="left"/>
      </w:pPr>
      <w:bookmarkStart w:id="0" w:name="_Toc14092"/>
      <w:r>
        <w:t>1. Тема</w:t>
      </w:r>
      <w:bookmarkEnd w:id="0"/>
    </w:p>
    <w:p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№7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63806021"/>
      <w:r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>: Построение диаграммы деятельности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>
        <w:rPr>
          <w:rFonts w:ascii="Times New Roman" w:hAnsi="Times New Roman" w:cs="Times New Roman"/>
          <w:sz w:val="26"/>
          <w:szCs w:val="26"/>
        </w:rPr>
        <w:t>: получить навыки построения диаграммы деятельности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и состояний</w:t>
      </w:r>
      <w:bookmarkStart w:id="6" w:name="_GoBack"/>
      <w:bookmarkEnd w:id="6"/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>: персональный компьютер</w:t>
      </w:r>
    </w:p>
    <w:p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Программное обеспечение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Word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DIA</w:t>
      </w: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pStyle w:val="2"/>
        <w:jc w:val="left"/>
      </w:pPr>
      <w:bookmarkStart w:id="2" w:name="_Toc12382"/>
      <w:r>
        <w:t>2. Постановка задачи</w:t>
      </w:r>
      <w:bookmarkEnd w:id="2"/>
    </w:p>
    <w:bookmarkEnd w:id="1"/>
    <w:p>
      <w:pPr>
        <w:pStyle w:val="17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1. Ознакомиться с теоретическими сведениями.</w:t>
      </w:r>
    </w:p>
    <w:p>
      <w:pPr>
        <w:pStyle w:val="17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2. Ознакомиться с методическими рекомендациями и выполнить задание в соответствии со своим вариантом.</w:t>
      </w:r>
    </w:p>
    <w:p>
      <w:pPr>
        <w:pStyle w:val="17"/>
        <w:tabs>
          <w:tab w:val="right" w:leader="dot" w:pos="9639"/>
        </w:tabs>
        <w:spacing w:after="0" w:line="360" w:lineRule="auto"/>
        <w:ind w:left="360"/>
        <w:jc w:val="both"/>
        <w:rPr>
          <w:rFonts w:hint="default" w:ascii="Times New Roman" w:hAnsi="Times New Roman" w:cs="Times New Roman"/>
          <w:szCs w:val="26"/>
          <w:lang w:val="ru-RU"/>
        </w:rPr>
      </w:pPr>
      <w:r>
        <w:rPr>
          <w:rFonts w:ascii="Times New Roman" w:hAnsi="Times New Roman" w:cs="Times New Roman"/>
          <w:szCs w:val="26"/>
        </w:rPr>
        <w:t xml:space="preserve">3. Построить диаграмму </w:t>
      </w:r>
      <w:r>
        <w:rPr>
          <w:rFonts w:ascii="Times New Roman" w:hAnsi="Times New Roman" w:cs="Times New Roman"/>
          <w:szCs w:val="26"/>
          <w:lang w:val="ru-RU"/>
        </w:rPr>
        <w:t>деятельности</w:t>
      </w:r>
    </w:p>
    <w:p>
      <w:pPr>
        <w:pStyle w:val="17"/>
        <w:tabs>
          <w:tab w:val="right" w:leader="dot" w:pos="9639"/>
        </w:tabs>
        <w:spacing w:after="0" w:line="360" w:lineRule="auto"/>
        <w:ind w:left="360"/>
        <w:jc w:val="both"/>
        <w:rPr>
          <w:rFonts w:hint="default" w:ascii="Times New Roman" w:hAnsi="Times New Roman" w:cs="Times New Roman"/>
          <w:szCs w:val="26"/>
          <w:lang w:val="ru-RU"/>
        </w:rPr>
      </w:pPr>
      <w:r>
        <w:rPr>
          <w:rFonts w:ascii="Times New Roman" w:hAnsi="Times New Roman" w:cs="Times New Roman"/>
          <w:szCs w:val="26"/>
        </w:rPr>
        <w:t xml:space="preserve">4. Построить диаграмму </w:t>
      </w:r>
      <w:r>
        <w:rPr>
          <w:rFonts w:ascii="Times New Roman" w:hAnsi="Times New Roman" w:cs="Times New Roman"/>
          <w:szCs w:val="26"/>
          <w:lang w:val="ru-RU"/>
        </w:rPr>
        <w:t>состояний</w:t>
      </w:r>
    </w:p>
    <w:p>
      <w:pPr>
        <w:pStyle w:val="17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5. Ответить на контрольные вопросы</w:t>
      </w:r>
    </w:p>
    <w:p>
      <w:pPr>
        <w:pStyle w:val="17"/>
        <w:tabs>
          <w:tab w:val="right" w:leader="dot" w:pos="9639"/>
        </w:tabs>
        <w:spacing w:after="0" w:line="360" w:lineRule="auto"/>
        <w:ind w:left="36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6. Написать отчёт</w:t>
      </w:r>
    </w:p>
    <w:p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>
      <w:pPr>
        <w:pStyle w:val="2"/>
        <w:jc w:val="left"/>
      </w:pPr>
      <w:bookmarkStart w:id="3" w:name="_Toc3408"/>
      <w:r>
        <w:t>3. Диаграмма деятельности</w:t>
      </w:r>
      <w:bookmarkEnd w:id="3"/>
    </w:p>
    <w:p>
      <w:pPr>
        <w:spacing w:after="160" w:line="259" w:lineRule="auto"/>
      </w:pPr>
      <w:r>
        <w:tab/>
      </w:r>
      <w:r>
        <w:t>На рисунке ниже представлена диаграмма деятельности для варианта использования информационной системы страховой компании.</w:t>
      </w:r>
    </w:p>
    <w:p>
      <w:pPr>
        <w:spacing w:after="160" w:line="259" w:lineRule="auto"/>
        <w:jc w:val="center"/>
      </w:pPr>
      <w:r>
        <w:drawing>
          <wp:inline distT="0" distB="0" distL="0" distR="0">
            <wp:extent cx="5996940" cy="3584575"/>
            <wp:effectExtent l="0" t="0" r="762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</w:pPr>
      <w:r>
        <w:t>Рисунок 3.1 – Диаграмма деятельности</w:t>
      </w:r>
    </w:p>
    <w:p>
      <w:r>
        <w:br w:type="page"/>
      </w:r>
    </w:p>
    <w:p>
      <w:pPr>
        <w:pStyle w:val="2"/>
        <w:jc w:val="left"/>
        <w:rPr>
          <w:rFonts w:hint="default"/>
          <w:lang w:val="ru-RU"/>
        </w:rPr>
      </w:pPr>
      <w:bookmarkStart w:id="4" w:name="_Toc17971"/>
      <w:r>
        <w:rPr>
          <w:rFonts w:hint="default"/>
          <w:lang w:val="ru-RU"/>
        </w:rPr>
        <w:t>4</w:t>
      </w:r>
      <w:r>
        <w:t xml:space="preserve">. Диаграмма </w:t>
      </w:r>
      <w:r>
        <w:rPr>
          <w:lang w:val="ru-RU"/>
        </w:rPr>
        <w:t>состояний</w:t>
      </w:r>
      <w:bookmarkEnd w:id="4"/>
    </w:p>
    <w:p>
      <w:pPr>
        <w:spacing w:after="160" w:line="259" w:lineRule="auto"/>
        <w:rPr>
          <w:rFonts w:hint="default"/>
          <w:lang w:val="ru-RU"/>
        </w:rPr>
      </w:pPr>
      <w:r>
        <w:tab/>
      </w:r>
      <w:r>
        <w:t xml:space="preserve">На рисунке ниже представлена диаграмма </w:t>
      </w:r>
      <w:r>
        <w:rPr>
          <w:lang w:val="ru-RU"/>
        </w:rPr>
        <w:t>состояний</w:t>
      </w:r>
      <w:r>
        <w:rPr>
          <w:rFonts w:hint="default"/>
          <w:lang w:val="ru-RU"/>
        </w:rPr>
        <w:t xml:space="preserve"> </w:t>
      </w:r>
      <w:r>
        <w:t xml:space="preserve">для </w:t>
      </w:r>
      <w:r>
        <w:rPr>
          <w:lang w:val="ru-RU"/>
        </w:rPr>
        <w:t>объекта</w:t>
      </w:r>
      <w:r>
        <w:rPr>
          <w:rFonts w:hint="default"/>
          <w:lang w:val="ru-RU"/>
        </w:rPr>
        <w:t xml:space="preserve"> «Заказ».</w:t>
      </w:r>
    </w:p>
    <w:p>
      <w:pPr>
        <w:spacing w:after="160" w:line="259" w:lineRule="auto"/>
        <w:jc w:val="center"/>
      </w:pPr>
      <w:r>
        <w:drawing>
          <wp:inline distT="0" distB="0" distL="114300" distR="114300">
            <wp:extent cx="6119495" cy="5527675"/>
            <wp:effectExtent l="0" t="0" r="6985" b="444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</w:pPr>
      <w:r>
        <w:t xml:space="preserve">Рисунок </w:t>
      </w:r>
      <w:r>
        <w:rPr>
          <w:rFonts w:hint="default"/>
          <w:lang w:val="ru-RU"/>
        </w:rPr>
        <w:t>4</w:t>
      </w:r>
      <w:r>
        <w:t xml:space="preserve">.1 – Диаграмма </w:t>
      </w:r>
      <w:r>
        <w:rPr>
          <w:lang w:val="ru-RU"/>
        </w:rPr>
        <w:t>состояний</w:t>
      </w:r>
      <w:r>
        <w:br w:type="page"/>
      </w:r>
    </w:p>
    <w:p>
      <w:pPr>
        <w:pStyle w:val="2"/>
      </w:pPr>
      <w:bookmarkStart w:id="5" w:name="_Toc27921"/>
      <w:r>
        <w:rPr>
          <w:rFonts w:hint="default"/>
          <w:lang w:val="ru-RU"/>
        </w:rPr>
        <w:t>5</w:t>
      </w:r>
      <w:r>
        <w:t>. Ответы на контрольные вопросы</w:t>
      </w:r>
      <w:bookmarkEnd w:id="5"/>
    </w:p>
    <w:p>
      <w:pPr>
        <w:spacing w:after="0"/>
        <w:ind w:firstLine="708"/>
        <w:jc w:val="both"/>
        <w:rPr>
          <w:b/>
        </w:rPr>
      </w:pPr>
      <w:r>
        <w:rPr>
          <w:b/>
        </w:rPr>
        <w:t>1. Что позволяет смоделировать диаграмма деятельности?</w:t>
      </w:r>
    </w:p>
    <w:p>
      <w:pPr>
        <w:spacing w:after="0"/>
        <w:ind w:firstLine="709"/>
        <w:jc w:val="both"/>
      </w:pPr>
      <w:r>
        <w:t xml:space="preserve">Диаграмма деятельности описывает действия, совершаемые действующими лицами в </w:t>
      </w:r>
      <w:r>
        <w:rPr>
          <w:lang w:val="ru-RU"/>
        </w:rPr>
        <w:t>определённом</w:t>
      </w:r>
      <w:r>
        <w:t xml:space="preserve"> сценарии использования информационной системы.</w:t>
      </w:r>
    </w:p>
    <w:p>
      <w:pPr>
        <w:spacing w:after="0"/>
        <w:ind w:firstLine="708"/>
        <w:jc w:val="both"/>
        <w:rPr>
          <w:b/>
        </w:rPr>
      </w:pPr>
      <w:r>
        <w:rPr>
          <w:b/>
        </w:rPr>
        <w:t>2. Какие основные графические элементы изображаются на диаграмме деятельности и что они означают?</w:t>
      </w:r>
    </w:p>
    <w:p>
      <w:pPr>
        <w:spacing w:after="0"/>
        <w:ind w:firstLine="709"/>
        <w:jc w:val="both"/>
      </w:pPr>
      <w:r>
        <w:t xml:space="preserve">Разделы – каждый раздел означает действующее лицо и содержит действия, совершаемые этим лицом. </w:t>
      </w:r>
    </w:p>
    <w:p>
      <w:pPr>
        <w:spacing w:after="0"/>
        <w:ind w:firstLine="709"/>
        <w:jc w:val="both"/>
      </w:pPr>
      <w:r>
        <w:t>Действия – говорят сами за себя. Размещаются на дорожках в соответствии с исполнителем. Изображаются прямоугольником с закругленными углами.</w:t>
      </w:r>
    </w:p>
    <w:p>
      <w:pPr>
        <w:spacing w:after="0"/>
        <w:ind w:firstLine="709"/>
        <w:jc w:val="both"/>
      </w:pPr>
      <w:r>
        <w:t>Потоки – делятся на потоки данных (стрелка между двумя объектами) и потоки управления (стрелка между двумя действиями) и означает переход в виде пересылаемого объекта в первом случае или переход между двумя действиями во втором.</w:t>
      </w:r>
    </w:p>
    <w:p>
      <w:pPr>
        <w:spacing w:after="0"/>
        <w:ind w:firstLine="709"/>
        <w:jc w:val="both"/>
      </w:pPr>
      <w:r>
        <w:t>Узлы деятельности:</w:t>
      </w:r>
    </w:p>
    <w:p>
      <w:pPr>
        <w:spacing w:after="0"/>
        <w:ind w:firstLine="709"/>
        <w:jc w:val="both"/>
      </w:pPr>
      <w:r>
        <w:tab/>
      </w:r>
      <w:r>
        <w:t>Начальный узел – закрашенный круг.</w:t>
      </w:r>
    </w:p>
    <w:p>
      <w:pPr>
        <w:spacing w:after="0"/>
        <w:ind w:firstLine="709"/>
        <w:jc w:val="both"/>
      </w:pPr>
      <w:r>
        <w:tab/>
      </w:r>
      <w:r>
        <w:t>Конечный узел деятельности – круг внутри кольца</w:t>
      </w:r>
    </w:p>
    <w:p>
      <w:pPr>
        <w:spacing w:after="0"/>
        <w:ind w:firstLine="709"/>
        <w:jc w:val="both"/>
      </w:pPr>
      <w:r>
        <w:tab/>
      </w:r>
      <w:r>
        <w:t xml:space="preserve">Конечный узел потока – круг с крестиком </w:t>
      </w:r>
    </w:p>
    <w:p>
      <w:pPr>
        <w:spacing w:after="0"/>
        <w:ind w:firstLine="709"/>
        <w:jc w:val="both"/>
      </w:pPr>
      <w:r>
        <w:t>Ветвление – условное деление потока на два. Выполнение идет в одном из направлений в зависимости от условия. Обозначается ромбом.</w:t>
      </w:r>
    </w:p>
    <w:p>
      <w:pPr>
        <w:spacing w:after="0"/>
        <w:ind w:firstLine="709"/>
        <w:jc w:val="both"/>
      </w:pPr>
      <w:r>
        <w:t>Разделение / слияние – разделение потока на параллельные, которые выполняются в одно и то же время, или слияние параллельных потоков в один. Обозначается чертой с входящими и выходящими потоками.</w:t>
      </w:r>
    </w:p>
    <w:p>
      <w:pPr>
        <w:spacing w:after="0"/>
        <w:ind w:firstLine="709"/>
        <w:jc w:val="both"/>
        <w:rPr>
          <w:b/>
        </w:rPr>
      </w:pPr>
      <w:r>
        <w:rPr>
          <w:b/>
        </w:rPr>
        <w:t>3. Как реализуется логика ветвления и объединения на диаграмме деятельности?</w:t>
      </w:r>
    </w:p>
    <w:p>
      <w:pPr>
        <w:spacing w:after="0"/>
        <w:ind w:firstLine="709"/>
        <w:jc w:val="both"/>
      </w:pPr>
      <w:r>
        <w:t>При делении потока, узел разделения принимает только один разделяемый поток, при этом из него выходит два и более потоков, которые будут осуществляться параллельно.</w:t>
      </w:r>
    </w:p>
    <w:p>
      <w:pPr>
        <w:spacing w:after="0"/>
        <w:ind w:firstLine="709"/>
        <w:jc w:val="both"/>
      </w:pPr>
      <w:r>
        <w:t>При слиянии параллельных потоков на вход должны быть поданы 2 или более потоков, а на выходе получается единственный поток. Точка слияния синхронизирует параллельные потоки.</w:t>
      </w:r>
    </w:p>
    <w:p>
      <w:pPr>
        <w:spacing w:after="0"/>
        <w:ind w:firstLine="709"/>
        <w:jc w:val="both"/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9170143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4C"/>
    <w:rsid w:val="00003594"/>
    <w:rsid w:val="00013E96"/>
    <w:rsid w:val="0003483F"/>
    <w:rsid w:val="0004769C"/>
    <w:rsid w:val="00056FAB"/>
    <w:rsid w:val="00073813"/>
    <w:rsid w:val="00074220"/>
    <w:rsid w:val="000855D4"/>
    <w:rsid w:val="00094ACD"/>
    <w:rsid w:val="000A2139"/>
    <w:rsid w:val="000A30F3"/>
    <w:rsid w:val="000A5190"/>
    <w:rsid w:val="000B253E"/>
    <w:rsid w:val="000D16AC"/>
    <w:rsid w:val="000E1F34"/>
    <w:rsid w:val="000E566A"/>
    <w:rsid w:val="000F1D05"/>
    <w:rsid w:val="001046FD"/>
    <w:rsid w:val="00117887"/>
    <w:rsid w:val="00121C12"/>
    <w:rsid w:val="0012351D"/>
    <w:rsid w:val="001332E4"/>
    <w:rsid w:val="0014788C"/>
    <w:rsid w:val="0015324E"/>
    <w:rsid w:val="00166002"/>
    <w:rsid w:val="0018418D"/>
    <w:rsid w:val="00185FE8"/>
    <w:rsid w:val="0019119E"/>
    <w:rsid w:val="00192791"/>
    <w:rsid w:val="001B508B"/>
    <w:rsid w:val="001D36C7"/>
    <w:rsid w:val="001E4A3C"/>
    <w:rsid w:val="001E6F17"/>
    <w:rsid w:val="001F08D7"/>
    <w:rsid w:val="00210A48"/>
    <w:rsid w:val="00216E8D"/>
    <w:rsid w:val="00224CCD"/>
    <w:rsid w:val="00227A1C"/>
    <w:rsid w:val="00230620"/>
    <w:rsid w:val="0023716C"/>
    <w:rsid w:val="002468D9"/>
    <w:rsid w:val="00246C23"/>
    <w:rsid w:val="0025772F"/>
    <w:rsid w:val="00270E59"/>
    <w:rsid w:val="00271D3F"/>
    <w:rsid w:val="002761E2"/>
    <w:rsid w:val="00281D70"/>
    <w:rsid w:val="00285133"/>
    <w:rsid w:val="002977BE"/>
    <w:rsid w:val="002A2552"/>
    <w:rsid w:val="002A4E12"/>
    <w:rsid w:val="002A657D"/>
    <w:rsid w:val="002A7D90"/>
    <w:rsid w:val="002B4377"/>
    <w:rsid w:val="002B74AB"/>
    <w:rsid w:val="002C36E2"/>
    <w:rsid w:val="002D430A"/>
    <w:rsid w:val="002D658F"/>
    <w:rsid w:val="002D736E"/>
    <w:rsid w:val="002E37A9"/>
    <w:rsid w:val="002F15B2"/>
    <w:rsid w:val="002F186D"/>
    <w:rsid w:val="002F59E9"/>
    <w:rsid w:val="00300248"/>
    <w:rsid w:val="0030345E"/>
    <w:rsid w:val="00304114"/>
    <w:rsid w:val="00313F71"/>
    <w:rsid w:val="00320306"/>
    <w:rsid w:val="00320D93"/>
    <w:rsid w:val="00324263"/>
    <w:rsid w:val="0033049C"/>
    <w:rsid w:val="00350576"/>
    <w:rsid w:val="0036283F"/>
    <w:rsid w:val="0036573B"/>
    <w:rsid w:val="00371F0C"/>
    <w:rsid w:val="003751CB"/>
    <w:rsid w:val="0038406F"/>
    <w:rsid w:val="003902B2"/>
    <w:rsid w:val="003A106A"/>
    <w:rsid w:val="003A11B5"/>
    <w:rsid w:val="003A64EF"/>
    <w:rsid w:val="003B3DF8"/>
    <w:rsid w:val="003C421B"/>
    <w:rsid w:val="003D1C0A"/>
    <w:rsid w:val="003D6C41"/>
    <w:rsid w:val="003E3398"/>
    <w:rsid w:val="003F1592"/>
    <w:rsid w:val="00410CD3"/>
    <w:rsid w:val="004135C8"/>
    <w:rsid w:val="00416D2A"/>
    <w:rsid w:val="0043406C"/>
    <w:rsid w:val="00445738"/>
    <w:rsid w:val="00455679"/>
    <w:rsid w:val="00457416"/>
    <w:rsid w:val="00476D03"/>
    <w:rsid w:val="00484773"/>
    <w:rsid w:val="004854AE"/>
    <w:rsid w:val="0048563C"/>
    <w:rsid w:val="00487397"/>
    <w:rsid w:val="00487D21"/>
    <w:rsid w:val="004913D3"/>
    <w:rsid w:val="0049190D"/>
    <w:rsid w:val="00495B06"/>
    <w:rsid w:val="004A64D2"/>
    <w:rsid w:val="004B3B20"/>
    <w:rsid w:val="004C650F"/>
    <w:rsid w:val="004D660E"/>
    <w:rsid w:val="004E316D"/>
    <w:rsid w:val="004F1C7A"/>
    <w:rsid w:val="00513658"/>
    <w:rsid w:val="005150EB"/>
    <w:rsid w:val="005277FA"/>
    <w:rsid w:val="0053072A"/>
    <w:rsid w:val="00530B6E"/>
    <w:rsid w:val="005332CE"/>
    <w:rsid w:val="00550933"/>
    <w:rsid w:val="005616C2"/>
    <w:rsid w:val="0056555C"/>
    <w:rsid w:val="00570F29"/>
    <w:rsid w:val="00581598"/>
    <w:rsid w:val="00581918"/>
    <w:rsid w:val="00592AD6"/>
    <w:rsid w:val="00595B78"/>
    <w:rsid w:val="005A14DB"/>
    <w:rsid w:val="005A222E"/>
    <w:rsid w:val="005A4BBC"/>
    <w:rsid w:val="005B35FE"/>
    <w:rsid w:val="005C3194"/>
    <w:rsid w:val="005D42AD"/>
    <w:rsid w:val="005E2E2A"/>
    <w:rsid w:val="005F0A23"/>
    <w:rsid w:val="006237CB"/>
    <w:rsid w:val="00627F88"/>
    <w:rsid w:val="00632847"/>
    <w:rsid w:val="006467DC"/>
    <w:rsid w:val="00647F68"/>
    <w:rsid w:val="00650FD9"/>
    <w:rsid w:val="00662A78"/>
    <w:rsid w:val="00664625"/>
    <w:rsid w:val="00666103"/>
    <w:rsid w:val="00673A08"/>
    <w:rsid w:val="00685C1F"/>
    <w:rsid w:val="006873BD"/>
    <w:rsid w:val="0069306B"/>
    <w:rsid w:val="006A074D"/>
    <w:rsid w:val="006A1C79"/>
    <w:rsid w:val="006B1366"/>
    <w:rsid w:val="006C06EC"/>
    <w:rsid w:val="006C22F6"/>
    <w:rsid w:val="006E1027"/>
    <w:rsid w:val="006F01B0"/>
    <w:rsid w:val="006F213F"/>
    <w:rsid w:val="006F5204"/>
    <w:rsid w:val="00700DE9"/>
    <w:rsid w:val="007056B9"/>
    <w:rsid w:val="0070723F"/>
    <w:rsid w:val="007075DD"/>
    <w:rsid w:val="00710A8C"/>
    <w:rsid w:val="00721FFF"/>
    <w:rsid w:val="00725FC4"/>
    <w:rsid w:val="0075186E"/>
    <w:rsid w:val="00754440"/>
    <w:rsid w:val="007643FC"/>
    <w:rsid w:val="007779B5"/>
    <w:rsid w:val="0078300D"/>
    <w:rsid w:val="00783F1F"/>
    <w:rsid w:val="007877BE"/>
    <w:rsid w:val="007A4609"/>
    <w:rsid w:val="007A6471"/>
    <w:rsid w:val="007B33A8"/>
    <w:rsid w:val="007B5ABE"/>
    <w:rsid w:val="007B647B"/>
    <w:rsid w:val="007D4ECC"/>
    <w:rsid w:val="007D5980"/>
    <w:rsid w:val="007D5A2C"/>
    <w:rsid w:val="007D5B6B"/>
    <w:rsid w:val="007E0D88"/>
    <w:rsid w:val="007E3A83"/>
    <w:rsid w:val="00823F73"/>
    <w:rsid w:val="00832237"/>
    <w:rsid w:val="00834A4E"/>
    <w:rsid w:val="008515FA"/>
    <w:rsid w:val="00866EAB"/>
    <w:rsid w:val="008670ED"/>
    <w:rsid w:val="00884CA6"/>
    <w:rsid w:val="00895770"/>
    <w:rsid w:val="00897E03"/>
    <w:rsid w:val="008D16EC"/>
    <w:rsid w:val="008D2C5C"/>
    <w:rsid w:val="008D6077"/>
    <w:rsid w:val="008E0F7E"/>
    <w:rsid w:val="008E2256"/>
    <w:rsid w:val="008E27DD"/>
    <w:rsid w:val="008E6EEA"/>
    <w:rsid w:val="008E7237"/>
    <w:rsid w:val="008F7512"/>
    <w:rsid w:val="009033C1"/>
    <w:rsid w:val="00903963"/>
    <w:rsid w:val="00910495"/>
    <w:rsid w:val="009228CF"/>
    <w:rsid w:val="0092681F"/>
    <w:rsid w:val="00933582"/>
    <w:rsid w:val="00936714"/>
    <w:rsid w:val="00936CC6"/>
    <w:rsid w:val="00943637"/>
    <w:rsid w:val="00945272"/>
    <w:rsid w:val="0098197A"/>
    <w:rsid w:val="009834FB"/>
    <w:rsid w:val="00992AC2"/>
    <w:rsid w:val="00993C1C"/>
    <w:rsid w:val="009976DA"/>
    <w:rsid w:val="009A58D5"/>
    <w:rsid w:val="009B0018"/>
    <w:rsid w:val="009B0DEF"/>
    <w:rsid w:val="009C335A"/>
    <w:rsid w:val="009D153D"/>
    <w:rsid w:val="00A02A4D"/>
    <w:rsid w:val="00A05C8D"/>
    <w:rsid w:val="00A06944"/>
    <w:rsid w:val="00A10859"/>
    <w:rsid w:val="00A167A9"/>
    <w:rsid w:val="00A20397"/>
    <w:rsid w:val="00A21824"/>
    <w:rsid w:val="00A233E1"/>
    <w:rsid w:val="00A238A3"/>
    <w:rsid w:val="00A25D91"/>
    <w:rsid w:val="00A30E75"/>
    <w:rsid w:val="00A37559"/>
    <w:rsid w:val="00A44099"/>
    <w:rsid w:val="00A46D71"/>
    <w:rsid w:val="00A47A17"/>
    <w:rsid w:val="00A5320E"/>
    <w:rsid w:val="00A567D7"/>
    <w:rsid w:val="00A611EF"/>
    <w:rsid w:val="00A73CE2"/>
    <w:rsid w:val="00A75596"/>
    <w:rsid w:val="00A7584C"/>
    <w:rsid w:val="00A80210"/>
    <w:rsid w:val="00A82E0B"/>
    <w:rsid w:val="00A950AA"/>
    <w:rsid w:val="00A9603D"/>
    <w:rsid w:val="00AA037F"/>
    <w:rsid w:val="00AA7635"/>
    <w:rsid w:val="00AB4091"/>
    <w:rsid w:val="00AC1651"/>
    <w:rsid w:val="00AC68F4"/>
    <w:rsid w:val="00AE13FA"/>
    <w:rsid w:val="00AE1708"/>
    <w:rsid w:val="00AE5484"/>
    <w:rsid w:val="00AF1A47"/>
    <w:rsid w:val="00AF719D"/>
    <w:rsid w:val="00B0062B"/>
    <w:rsid w:val="00B101FC"/>
    <w:rsid w:val="00B207A3"/>
    <w:rsid w:val="00B3136B"/>
    <w:rsid w:val="00B36598"/>
    <w:rsid w:val="00B439BD"/>
    <w:rsid w:val="00B44923"/>
    <w:rsid w:val="00B44F6B"/>
    <w:rsid w:val="00B4707F"/>
    <w:rsid w:val="00B50802"/>
    <w:rsid w:val="00B50F9D"/>
    <w:rsid w:val="00B618D0"/>
    <w:rsid w:val="00B644D1"/>
    <w:rsid w:val="00B76FAB"/>
    <w:rsid w:val="00B8004C"/>
    <w:rsid w:val="00B85853"/>
    <w:rsid w:val="00B91C87"/>
    <w:rsid w:val="00B91DAA"/>
    <w:rsid w:val="00BA1C98"/>
    <w:rsid w:val="00BA786B"/>
    <w:rsid w:val="00BB3FAA"/>
    <w:rsid w:val="00BC4920"/>
    <w:rsid w:val="00BD328A"/>
    <w:rsid w:val="00BD3ED8"/>
    <w:rsid w:val="00BE17E8"/>
    <w:rsid w:val="00BE70C4"/>
    <w:rsid w:val="00BF567E"/>
    <w:rsid w:val="00C01C01"/>
    <w:rsid w:val="00C0453E"/>
    <w:rsid w:val="00C063F6"/>
    <w:rsid w:val="00C074CD"/>
    <w:rsid w:val="00C168C8"/>
    <w:rsid w:val="00C25FD4"/>
    <w:rsid w:val="00C35316"/>
    <w:rsid w:val="00C5128C"/>
    <w:rsid w:val="00C564EC"/>
    <w:rsid w:val="00C57472"/>
    <w:rsid w:val="00C64C6B"/>
    <w:rsid w:val="00C73C72"/>
    <w:rsid w:val="00C80F95"/>
    <w:rsid w:val="00C95FD1"/>
    <w:rsid w:val="00CA0E3B"/>
    <w:rsid w:val="00CA784E"/>
    <w:rsid w:val="00CB5E06"/>
    <w:rsid w:val="00CC239E"/>
    <w:rsid w:val="00CC6744"/>
    <w:rsid w:val="00CD6709"/>
    <w:rsid w:val="00CE6DE8"/>
    <w:rsid w:val="00CF0DB0"/>
    <w:rsid w:val="00CF74C4"/>
    <w:rsid w:val="00D0502E"/>
    <w:rsid w:val="00D1729C"/>
    <w:rsid w:val="00D343E1"/>
    <w:rsid w:val="00D36884"/>
    <w:rsid w:val="00D44F27"/>
    <w:rsid w:val="00D459C6"/>
    <w:rsid w:val="00D45D69"/>
    <w:rsid w:val="00D61091"/>
    <w:rsid w:val="00D6247B"/>
    <w:rsid w:val="00D62759"/>
    <w:rsid w:val="00D711D4"/>
    <w:rsid w:val="00D7511D"/>
    <w:rsid w:val="00D8061E"/>
    <w:rsid w:val="00D91D17"/>
    <w:rsid w:val="00DB0181"/>
    <w:rsid w:val="00DB044C"/>
    <w:rsid w:val="00DB4938"/>
    <w:rsid w:val="00DB639A"/>
    <w:rsid w:val="00DE6463"/>
    <w:rsid w:val="00DF092C"/>
    <w:rsid w:val="00E0131A"/>
    <w:rsid w:val="00E3654D"/>
    <w:rsid w:val="00E4335A"/>
    <w:rsid w:val="00E524CB"/>
    <w:rsid w:val="00E71749"/>
    <w:rsid w:val="00E77BAA"/>
    <w:rsid w:val="00E83D4C"/>
    <w:rsid w:val="00E8497C"/>
    <w:rsid w:val="00E87626"/>
    <w:rsid w:val="00E97F5B"/>
    <w:rsid w:val="00EA208E"/>
    <w:rsid w:val="00EA7E52"/>
    <w:rsid w:val="00EC177E"/>
    <w:rsid w:val="00EC3C85"/>
    <w:rsid w:val="00ED78D4"/>
    <w:rsid w:val="00EE11FD"/>
    <w:rsid w:val="00EE3B20"/>
    <w:rsid w:val="00EE49DB"/>
    <w:rsid w:val="00F03CBA"/>
    <w:rsid w:val="00F0749A"/>
    <w:rsid w:val="00F20CCC"/>
    <w:rsid w:val="00F26BDE"/>
    <w:rsid w:val="00F3717C"/>
    <w:rsid w:val="00F424AD"/>
    <w:rsid w:val="00F54814"/>
    <w:rsid w:val="00F57EA8"/>
    <w:rsid w:val="00F67F94"/>
    <w:rsid w:val="00F73EB1"/>
    <w:rsid w:val="00F74086"/>
    <w:rsid w:val="00FA0544"/>
    <w:rsid w:val="00FB1508"/>
    <w:rsid w:val="00FD465B"/>
    <w:rsid w:val="00FE6273"/>
    <w:rsid w:val="05D862D5"/>
    <w:rsid w:val="30442730"/>
    <w:rsid w:val="3ABB7AE2"/>
    <w:rsid w:val="3F2A3C28"/>
    <w:rsid w:val="46770709"/>
    <w:rsid w:val="509801BD"/>
    <w:rsid w:val="68B31F0D"/>
    <w:rsid w:val="6BCD2F62"/>
    <w:rsid w:val="6E7B4534"/>
    <w:rsid w:val="753320B1"/>
    <w:rsid w:val="75A2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jc w:val="both"/>
      <w:outlineLvl w:val="0"/>
    </w:pPr>
    <w:rPr>
      <w:rFonts w:asciiTheme="majorHAnsi" w:hAnsiTheme="majorHAnsi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uiPriority w:val="39"/>
    <w:pPr>
      <w:spacing w:after="100" w:line="259" w:lineRule="auto"/>
    </w:pPr>
    <w:rPr>
      <w:rFonts w:cs="Times New Roman" w:eastAsiaTheme="minorEastAsia"/>
      <w:lang w:eastAsia="ru-RU"/>
    </w:rPr>
  </w:style>
  <w:style w:type="paragraph" w:styleId="9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cs="Times New Roman" w:eastAsiaTheme="minorEastAsia"/>
      <w:lang w:eastAsia="ru-RU"/>
    </w:rPr>
  </w:style>
  <w:style w:type="paragraph" w:styleId="10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rFonts w:cs="Times New Roman" w:eastAsiaTheme="minorEastAsia"/>
      <w:lang w:eastAsia="ru-RU"/>
    </w:rPr>
  </w:style>
  <w:style w:type="paragraph" w:styleId="11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2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Верхний колонтитул Знак"/>
    <w:basedOn w:val="3"/>
    <w:link w:val="7"/>
    <w:uiPriority w:val="99"/>
  </w:style>
  <w:style w:type="character" w:customStyle="1" w:styleId="14">
    <w:name w:val="Нижний колонтитул Знак"/>
    <w:basedOn w:val="3"/>
    <w:link w:val="11"/>
    <w:qFormat/>
    <w:uiPriority w:val="99"/>
  </w:style>
  <w:style w:type="character" w:customStyle="1" w:styleId="15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customStyle="1" w:styleId="16">
    <w:name w:val="Заголовок оглавления1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Текст выноски Знак"/>
    <w:basedOn w:val="3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7F65C-C790-40DA-9AFC-2FF578ABD3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528</Words>
  <Characters>3011</Characters>
  <Lines>25</Lines>
  <Paragraphs>7</Paragraphs>
  <TotalTime>0</TotalTime>
  <ScaleCrop>false</ScaleCrop>
  <LinksUpToDate>false</LinksUpToDate>
  <CharactersWithSpaces>3532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2021-04-15T07:53:00Z</dcterms:created>
  <dc:creator>student</dc:creator>
  <cp:lastModifiedBy>Павел Симонян</cp:lastModifiedBy>
  <dcterms:modified xsi:type="dcterms:W3CDTF">2021-12-05T17:31:27Z</dcterms:modified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27D23F36EA3840778DECFBF75D91DE6D</vt:lpwstr>
  </property>
</Properties>
</file>