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Voter</w:t>
      </w:r>
      <w:r>
        <w:t xml:space="preserve"> </w:t>
      </w:r>
      <w:r>
        <w:t xml:space="preserve">Participation</w:t>
      </w:r>
    </w:p>
    <w:p>
      <w:pPr>
        <w:pStyle w:val="Subtitle"/>
      </w:pPr>
      <w:r>
        <w:t xml:space="preserve">Visuals</w:t>
      </w:r>
      <w:r>
        <w:t xml:space="preserve"> </w:t>
      </w:r>
      <w:r>
        <w:t xml:space="preserve">for</w:t>
      </w:r>
      <w:r>
        <w:t xml:space="preserve"> </w:t>
      </w:r>
      <w:r>
        <w:t xml:space="preserve">Equity</w:t>
      </w:r>
      <w:r>
        <w:t xml:space="preserve"> </w:t>
      </w:r>
      <w:r>
        <w:t xml:space="preserve">Tracker</w:t>
      </w:r>
      <w:r>
        <w:t xml:space="preserve"> </w:t>
      </w:r>
      <w:r>
        <w:t xml:space="preserve">(tract</w:t>
      </w:r>
      <w:r>
        <w:t xml:space="preserve"> </w:t>
      </w:r>
      <w:r>
        <w:t xml:space="preserve">data)</w:t>
      </w:r>
    </w:p>
    <w:p>
      <w:pPr>
        <w:pStyle w:val="Author"/>
      </w:pPr>
      <w:r>
        <w:t xml:space="preserve">Mary</w:t>
      </w:r>
      <w:r>
        <w:t xml:space="preserve"> </w:t>
      </w:r>
      <w:r>
        <w:t xml:space="preserve">Richards</w:t>
      </w:r>
    </w:p>
    <w:p>
      <w:pPr>
        <w:pStyle w:val="Date"/>
      </w:pPr>
      <w:r>
        <w:t xml:space="preserve">October</w:t>
      </w:r>
      <w:r>
        <w:t xml:space="preserve"> </w:t>
      </w:r>
      <w:r>
        <w:t xml:space="preserve">28,</w:t>
      </w:r>
      <w:r>
        <w:t xml:space="preserve"> </w:t>
      </w:r>
      <w:r>
        <w:t xml:space="preserve">2025</w:t>
      </w:r>
    </w:p>
    <w:bookmarkStart w:id="42" w:name="visuals-for-webpage"/>
    <w:p>
      <w:pPr>
        <w:pStyle w:val="Heading1"/>
      </w:pPr>
      <w:r>
        <w:t xml:space="preserve">3 visuals for webpage</w:t>
      </w:r>
    </w:p>
    <w:p>
      <w:pPr>
        <w:pStyle w:val="FirstParagraph"/>
      </w:pPr>
      <w:r>
        <w:t xml:space="preserve">This code will help produce the three visuals that are going to be a part of each equity tracker indicator webpage: regional map (tract level) of most recent data, chart of the most recent data, chart of trends over time.</w:t>
      </w:r>
      <w:r>
        <w:br/>
      </w:r>
      <w:r>
        <w:br/>
      </w:r>
      <w:r>
        <w:rPr>
          <w:bCs/>
          <w:b/>
        </w:rPr>
        <w:t xml:space="preserve">If the indicator is available through a tract-level data set.</w:t>
      </w:r>
      <w:r>
        <w:t xml:space="preserve"> </w:t>
      </w:r>
      <w:r>
        <w:t xml:space="preserve">Getting the data to a workable version may require some data transformation. To explore, clean, transform, and generate a final data set, please use the</w:t>
      </w:r>
      <w:r>
        <w:t xml:space="preserve"> </w:t>
      </w:r>
      <w:r>
        <w:rPr>
          <w:iCs/>
          <w:i/>
        </w:rPr>
        <w:t xml:space="preserve">data-gen-tract-template</w:t>
      </w:r>
      <w:r>
        <w:t xml:space="preserve">. This script will generate an .rda for the map and an .rda for the charts. These data sets will be loaded in before the data visualization code.</w:t>
      </w:r>
    </w:p>
    <w:bookmarkStart w:id="20" w:name="indicator-explanation"/>
    <w:p>
      <w:pPr>
        <w:pStyle w:val="Heading2"/>
      </w:pPr>
      <w:r>
        <w:t xml:space="preserve">Indicator Explanation</w:t>
      </w:r>
    </w:p>
    <w:p>
      <w:pPr>
        <w:pStyle w:val="FirstParagraph"/>
      </w:pPr>
      <w:r>
        <w:t xml:space="preserve">Voter participation provides a way to understand a community’s political engagement. Differences between groups of people can highlight differing access to engagement opportunities. The ability to participate in civic processes ensures fair representation and adequate access to services and resources, all of which influence a population’s connection to their community.</w:t>
      </w:r>
    </w:p>
    <w:bookmarkEnd w:id="20"/>
    <w:bookmarkStart w:id="27" w:name="map-of-most-recent-data"/>
    <w:p>
      <w:pPr>
        <w:pStyle w:val="Heading2"/>
      </w:pPr>
      <w:r>
        <w:t xml:space="preserve">1. Map of most recent data</w:t>
      </w:r>
    </w:p>
    <w:bookmarkStart w:id="26" w:name="create-visual"/>
    <w:p>
      <w:pPr>
        <w:pStyle w:val="Heading3"/>
      </w:pPr>
      <w:r>
        <w:t xml:space="preserve">Create Visual</w:t>
      </w:r>
    </w:p>
    <w:p>
      <w:pPr>
        <w:pStyle w:val="FirstParagraph"/>
      </w:pPr>
      <w:r>
        <w:drawing>
          <wp:inline>
            <wp:extent cx="5334000" cy="4267200"/>
            <wp:effectExtent b="0" l="0" r="0" t="0"/>
            <wp:docPr descr="" title="" id="22" name="Picture"/>
            <a:graphic>
              <a:graphicData uri="http://schemas.openxmlformats.org/drawingml/2006/picture">
                <pic:pic>
                  <pic:nvPicPr>
                    <pic:cNvPr descr="h02-vis-voter-participation_files/figure-docx/acs%20map-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Sources: Washington Office of Secretary of State 2024 general election data; U.S. Census Bureau, American Community Survey (ACS) 2023 5-Year Estimates; U.S. Census Bureau, Geography Division 2020 TIGER/Line Shapefiles</w:t>
      </w:r>
    </w:p>
    <w:p>
      <w:pPr>
        <w:pStyle w:val="BodyText"/>
      </w:pPr>
      <w:r>
        <w:br/>
      </w:r>
      <w:r>
        <w:br/>
      </w:r>
    </w:p>
    <w:bookmarkStart w:id="24" w:name="data-call-outs"/>
    <w:p>
      <w:pPr>
        <w:pStyle w:val="Heading4"/>
      </w:pPr>
      <w:r>
        <w:t xml:space="preserve">Data call outs</w:t>
      </w:r>
    </w:p>
    <w:p>
      <w:pPr>
        <w:numPr>
          <w:ilvl w:val="0"/>
          <w:numId w:val="1001"/>
        </w:numPr>
        <w:pStyle w:val="Compact"/>
      </w:pPr>
      <w:r>
        <w:t xml:space="preserve">61%: The region’s voter participation rate</w:t>
      </w:r>
    </w:p>
    <w:p>
      <w:pPr>
        <w:numPr>
          <w:ilvl w:val="0"/>
          <w:numId w:val="1001"/>
        </w:numPr>
        <w:pStyle w:val="Compact"/>
      </w:pPr>
      <w:r>
        <w:t xml:space="preserve">79%: The regional voter participation rate for communities with low concentrations of households of color is 79%, 25 percentage points higher than the rate for communities with high concentrations</w:t>
      </w:r>
    </w:p>
    <w:p>
      <w:pPr>
        <w:numPr>
          <w:ilvl w:val="0"/>
          <w:numId w:val="1001"/>
        </w:numPr>
        <w:pStyle w:val="Compact"/>
      </w:pPr>
      <w:r>
        <w:t xml:space="preserve">55%: Regionally, communities with high concentrations of people with disabilities have voter participation rates 6 percentage points lower than communities with low concentrations</w:t>
      </w:r>
      <w:r>
        <w:br/>
      </w:r>
    </w:p>
    <w:bookmarkEnd w:id="24"/>
    <w:bookmarkStart w:id="25" w:name="insights-analysis"/>
    <w:p>
      <w:pPr>
        <w:pStyle w:val="Heading4"/>
      </w:pPr>
      <w:r>
        <w:t xml:space="preserve">Insights &amp; Analysis</w:t>
      </w:r>
    </w:p>
    <w:p>
      <w:pPr>
        <w:numPr>
          <w:ilvl w:val="0"/>
          <w:numId w:val="1002"/>
        </w:numPr>
        <w:pStyle w:val="Compact"/>
      </w:pPr>
      <w:r>
        <w:t xml:space="preserve">Kitsap County has the highest voter participation (69%), followed by Snohomish (63%), Pierce (61%), and King (60%).</w:t>
      </w:r>
    </w:p>
    <w:p>
      <w:pPr>
        <w:numPr>
          <w:ilvl w:val="0"/>
          <w:numId w:val="1002"/>
        </w:numPr>
        <w:pStyle w:val="Compact"/>
      </w:pPr>
      <w:r>
        <w:t xml:space="preserve">There are six census tracts that have voter participation rates of 95% or higher - these include two neighborhoods on Bainbridge Island in Kitsap County and 4 neighborhoods in Seattle in King County: Broadiew, Briarcliff and Magnolia, Arroyo Heights and Arroyo Beach, and Sunset Hill in Ballard.</w:t>
      </w:r>
    </w:p>
    <w:p>
      <w:pPr>
        <w:numPr>
          <w:ilvl w:val="0"/>
          <w:numId w:val="1002"/>
        </w:numPr>
        <w:pStyle w:val="Compact"/>
      </w:pPr>
      <w:r>
        <w:t xml:space="preserve">The four census tracts that have the lowest voter participation rates in the region (below 10%) are in King and Pierce county - around the UW campus in Seattle and surrounding Joint Base Lewis-McChord southeast of Tacoma, respectively. These areas have high concentrations of students and military members - those who are less likely register as voters of Washington state.</w:t>
      </w:r>
    </w:p>
    <w:p>
      <w:pPr>
        <w:pStyle w:val="FirstParagraph"/>
      </w:pPr>
      <w:r>
        <w:br/>
      </w:r>
      <w:r>
        <w:br/>
      </w:r>
    </w:p>
    <w:bookmarkEnd w:id="25"/>
    <w:bookmarkEnd w:id="26"/>
    <w:bookmarkEnd w:id="27"/>
    <w:bookmarkStart w:id="34" w:name="facet-of-most-recent-data"/>
    <w:p>
      <w:pPr>
        <w:pStyle w:val="Heading2"/>
      </w:pPr>
      <w:r>
        <w:t xml:space="preserve">2. Facet of most recent data</w:t>
      </w:r>
    </w:p>
    <w:bookmarkStart w:id="33" w:name="create-visual-1"/>
    <w:p>
      <w:pPr>
        <w:pStyle w:val="Heading3"/>
      </w:pPr>
      <w:r>
        <w:t xml:space="preserve">Create Visual</w:t>
      </w:r>
    </w:p>
    <w:p>
      <w:pPr>
        <w:pStyle w:val="FirstParagraph"/>
      </w:pPr>
      <w:r>
        <w:t xml:space="preserve">Voter Participation</w:t>
      </w:r>
    </w:p>
    <w:p>
      <w:pPr>
        <w:pStyle w:val="BodyText"/>
      </w:pPr>
      <w:r>
        <w:t xml:space="preserve">2024 election data</w:t>
      </w:r>
    </w:p>
    <w:p>
      <w:pPr>
        <w:pStyle w:val="BodyText"/>
      </w:pPr>
      <w:r>
        <w:drawing>
          <wp:inline>
            <wp:extent cx="5334000" cy="2414190"/>
            <wp:effectExtent b="0" l="0" r="0" t="0"/>
            <wp:docPr descr="" title="" id="29" name="Picture"/>
            <a:graphic>
              <a:graphicData uri="http://schemas.openxmlformats.org/drawingml/2006/picture">
                <pic:pic>
                  <pic:nvPicPr>
                    <pic:cNvPr descr="Y:/Equity%20Indicators/tracker-webpage-content/h-public-services/static-images/h02-voter-participation-column.png" id="30" name="Picture"/>
                    <pic:cNvPicPr>
                      <a:picLocks noChangeArrowheads="1" noChangeAspect="1"/>
                    </pic:cNvPicPr>
                  </pic:nvPicPr>
                  <pic:blipFill>
                    <a:blip r:embed="rId28"/>
                    <a:stretch>
                      <a:fillRect/>
                    </a:stretch>
                  </pic:blipFill>
                  <pic:spPr bwMode="auto">
                    <a:xfrm>
                      <a:off x="0" y="0"/>
                      <a:ext cx="5334000" cy="2414190"/>
                    </a:xfrm>
                    <a:prstGeom prst="rect">
                      <a:avLst/>
                    </a:prstGeom>
                    <a:noFill/>
                    <a:ln w="9525">
                      <a:noFill/>
                      <a:headEnd/>
                      <a:tailEnd/>
                    </a:ln>
                  </pic:spPr>
                </pic:pic>
              </a:graphicData>
            </a:graphic>
          </wp:inline>
        </w:drawing>
      </w:r>
    </w:p>
    <w:p>
      <w:pPr>
        <w:pStyle w:val="BodyText"/>
      </w:pPr>
      <w:r>
        <w:t xml:space="preserve">Washington Office of Secretary of State 2024 general election data; U.S. Census Bureau, 2019-2023 American Community Survey 5-Year Estimates, Tables B02001, C17002, B22010, B11005, B11007, C16002</w:t>
      </w:r>
    </w:p>
    <w:bookmarkStart w:id="31" w:name="data-call-outs-1"/>
    <w:p>
      <w:pPr>
        <w:pStyle w:val="Heading4"/>
      </w:pPr>
      <w:r>
        <w:t xml:space="preserve">Data call outs</w:t>
      </w:r>
    </w:p>
    <w:p>
      <w:pPr>
        <w:pStyle w:val="FirstParagraph"/>
      </w:pPr>
      <w:r>
        <w:br/>
      </w:r>
    </w:p>
    <w:bookmarkEnd w:id="31"/>
    <w:bookmarkStart w:id="32" w:name="insights-analysis-1"/>
    <w:p>
      <w:pPr>
        <w:pStyle w:val="Heading4"/>
      </w:pPr>
      <w:r>
        <w:t xml:space="preserve">Insights &amp; Analysis</w:t>
      </w:r>
    </w:p>
    <w:p>
      <w:pPr>
        <w:numPr>
          <w:ilvl w:val="0"/>
          <w:numId w:val="1003"/>
        </w:numPr>
        <w:pStyle w:val="Compact"/>
      </w:pPr>
      <w:r>
        <w:t xml:space="preserve">Communities with higher concentrations of people of color have lower voter participation rates than those with lower concentrations - the largest difference is in King County (38 percentage points).</w:t>
      </w:r>
    </w:p>
    <w:p>
      <w:pPr>
        <w:numPr>
          <w:ilvl w:val="0"/>
          <w:numId w:val="1003"/>
        </w:numPr>
        <w:pStyle w:val="Compact"/>
      </w:pPr>
      <w:r>
        <w:t xml:space="preserve">For communities with high concentrations of households who are below 200% of the poverty level, voter participation rates are highest in Kitsap County (56%), followed by Snohomish (48%), King (41%), and Pierce County (37%).</w:t>
      </w:r>
    </w:p>
    <w:p>
      <w:pPr>
        <w:numPr>
          <w:ilvl w:val="0"/>
          <w:numId w:val="1003"/>
        </w:numPr>
        <w:pStyle w:val="Compact"/>
      </w:pPr>
      <w:r>
        <w:t xml:space="preserve">Voter participation is lower in communities with higher concentrations of households with limited English proficiency compared to communities with lower concentrations. King County has the highest difference (32 percentage points), while Kitsap County has the smallest difference (9 percentage points).</w:t>
      </w:r>
    </w:p>
    <w:p>
      <w:pPr>
        <w:numPr>
          <w:ilvl w:val="0"/>
          <w:numId w:val="1003"/>
        </w:numPr>
        <w:pStyle w:val="Compact"/>
      </w:pPr>
      <w:r>
        <w:t xml:space="preserve">In contrast to the other equity communities, those with higher concentrations of households with older adults have higher voter participation rates compared to those with lower concentrations. The largest differences are in Pierce and Kitsap counties where higher concentrations of households with older adults have higher voter participation rates by 32 and 30 percentage points, respectively. The differences are smaller in King and Snohomish counties - 19 and 17 percentage points, respectively.</w:t>
      </w:r>
    </w:p>
    <w:p>
      <w:pPr>
        <w:pStyle w:val="FirstParagraph"/>
      </w:pPr>
      <w:r>
        <w:br/>
      </w:r>
      <w:r>
        <w:br/>
      </w:r>
    </w:p>
    <w:bookmarkEnd w:id="32"/>
    <w:bookmarkEnd w:id="33"/>
    <w:bookmarkEnd w:id="34"/>
    <w:bookmarkStart w:id="41" w:name="facet-of-trend-data"/>
    <w:p>
      <w:pPr>
        <w:pStyle w:val="Heading2"/>
      </w:pPr>
      <w:r>
        <w:t xml:space="preserve">3. Facet of trend data</w:t>
      </w:r>
    </w:p>
    <w:bookmarkStart w:id="40" w:name="create-visual-2"/>
    <w:p>
      <w:pPr>
        <w:pStyle w:val="Heading3"/>
      </w:pPr>
      <w:r>
        <w:t xml:space="preserve">Create Visual</w:t>
      </w:r>
    </w:p>
    <w:p>
      <w:pPr>
        <w:pStyle w:val="FirstParagraph"/>
      </w:pPr>
      <w:r>
        <w:t xml:space="preserve">Voter Participation</w:t>
      </w:r>
    </w:p>
    <w:p>
      <w:pPr>
        <w:pStyle w:val="BodyText"/>
      </w:pPr>
      <w:r>
        <w:t xml:space="preserve">2024 election data</w:t>
      </w:r>
    </w:p>
    <w:p>
      <w:pPr>
        <w:pStyle w:val="BodyText"/>
      </w:pPr>
      <w:r>
        <w:drawing>
          <wp:inline>
            <wp:extent cx="5334000" cy="2414190"/>
            <wp:effectExtent b="0" l="0" r="0" t="0"/>
            <wp:docPr descr="" title="" id="36" name="Picture"/>
            <a:graphic>
              <a:graphicData uri="http://schemas.openxmlformats.org/drawingml/2006/picture">
                <pic:pic>
                  <pic:nvPicPr>
                    <pic:cNvPr descr="Y:/Equity%20Indicators/tracker-webpage-content/h-public-services/static-images/h02-voter-participation-line.png" id="37" name="Picture"/>
                    <pic:cNvPicPr>
                      <a:picLocks noChangeArrowheads="1" noChangeAspect="1"/>
                    </pic:cNvPicPr>
                  </pic:nvPicPr>
                  <pic:blipFill>
                    <a:blip r:embed="rId35"/>
                    <a:stretch>
                      <a:fillRect/>
                    </a:stretch>
                  </pic:blipFill>
                  <pic:spPr bwMode="auto">
                    <a:xfrm>
                      <a:off x="0" y="0"/>
                      <a:ext cx="5334000" cy="2414190"/>
                    </a:xfrm>
                    <a:prstGeom prst="rect">
                      <a:avLst/>
                    </a:prstGeom>
                    <a:noFill/>
                    <a:ln w="9525">
                      <a:noFill/>
                      <a:headEnd/>
                      <a:tailEnd/>
                    </a:ln>
                  </pic:spPr>
                </pic:pic>
              </a:graphicData>
            </a:graphic>
          </wp:inline>
        </w:drawing>
      </w:r>
    </w:p>
    <w:p>
      <w:pPr>
        <w:pStyle w:val="BodyText"/>
      </w:pPr>
      <w:r>
        <w:t xml:space="preserve">Washington Office of Secretary of State 2012, 2016, 2020, 2024 general election data; U.S. Census Bureau, 2008-2012, 2012-2016, 2016-2020, 2019-2023 American Community Survey 5-Year Estimates, Tables B02001, C17002, B22010, B11005, B11007, C16002</w:t>
      </w:r>
    </w:p>
    <w:bookmarkStart w:id="38" w:name="data-call-outs-2"/>
    <w:p>
      <w:pPr>
        <w:pStyle w:val="Heading4"/>
      </w:pPr>
      <w:r>
        <w:t xml:space="preserve">Data call outs</w:t>
      </w:r>
    </w:p>
    <w:p>
      <w:pPr>
        <w:pStyle w:val="FirstParagraph"/>
      </w:pPr>
      <w:r>
        <w:br/>
      </w:r>
    </w:p>
    <w:bookmarkEnd w:id="38"/>
    <w:bookmarkStart w:id="39" w:name="insights-analysis-2"/>
    <w:p>
      <w:pPr>
        <w:pStyle w:val="Heading4"/>
      </w:pPr>
      <w:r>
        <w:t xml:space="preserve">Insights &amp; Analysis</w:t>
      </w:r>
    </w:p>
    <w:p>
      <w:pPr>
        <w:numPr>
          <w:ilvl w:val="0"/>
          <w:numId w:val="1004"/>
        </w:numPr>
        <w:pStyle w:val="Compact"/>
      </w:pPr>
      <w:r>
        <w:t xml:space="preserve">Areas with higher concentrations of people of color have lower voter participation than areas with lower concentrations - a difference which has increased 16% between 2012 and 2024. The largest change was largest in Kitsap County (64%) and the smallest was in King County (12%).</w:t>
      </w:r>
    </w:p>
    <w:p>
      <w:pPr>
        <w:numPr>
          <w:ilvl w:val="0"/>
          <w:numId w:val="1004"/>
        </w:numPr>
        <w:pStyle w:val="Compact"/>
      </w:pPr>
      <w:r>
        <w:t xml:space="preserve">Communities with higher concentrations of households below 200% of the poverty line consistently had lower voter participation than communities with lower concentrations. Between 2012 and 2024, the voter participation gaps decreased in Snohomish County (5 percentage points) and slightly decreased in King (0.5 percentage points) and Kitsap (0.9 percentage points) counties. In Pierce County the gap increased four percentage points.</w:t>
      </w:r>
    </w:p>
    <w:p>
      <w:pPr>
        <w:numPr>
          <w:ilvl w:val="0"/>
          <w:numId w:val="1004"/>
        </w:numPr>
        <w:pStyle w:val="Compact"/>
      </w:pPr>
      <w:r>
        <w:t xml:space="preserve">In 2024, communities with high concentrations of households with limited English proficiency had had lower voter participation than communities with lowe concentrations, a trend consistent with 2016. The difference between areas with high and low concentrations increased in all counties between 2016 and 2024 - ranging from king County (4%) to Kitsap County (96%).</w:t>
      </w:r>
    </w:p>
    <w:p>
      <w:pPr>
        <w:numPr>
          <w:ilvl w:val="0"/>
          <w:numId w:val="1004"/>
        </w:numPr>
        <w:pStyle w:val="Compact"/>
      </w:pPr>
      <w:r>
        <w:t xml:space="preserve">Regionally, communities with higher concentrations of older households have higher voter participation than communities with lower concentrations - a difference which has increased 58% between 2016 and 2024.</w:t>
      </w:r>
    </w:p>
    <w:p>
      <w:pPr>
        <w:pStyle w:val="FirstParagraph"/>
      </w:pPr>
      <w:r>
        <w:br/>
      </w:r>
      <w:r>
        <w:br/>
      </w:r>
    </w:p>
    <w:bookmarkEnd w:id="39"/>
    <w:bookmarkEnd w:id="40"/>
    <w:bookmarkEnd w:id="41"/>
    <w:bookmarkEnd w:id="42"/>
    <w:bookmarkStart w:id="49" w:name="transfer-files"/>
    <w:p>
      <w:pPr>
        <w:pStyle w:val="Heading1"/>
      </w:pPr>
      <w:r>
        <w:t xml:space="preserve">Transfer files</w:t>
      </w:r>
    </w:p>
    <w:bookmarkStart w:id="43" w:name="X326660575b4b4df7012dafd21fce4b080eea4d3"/>
    <w:p>
      <w:pPr>
        <w:pStyle w:val="Heading2"/>
      </w:pPr>
      <w:r>
        <w:t xml:space="preserve">Copy files from Github &gt; Y drive/update folder</w:t>
      </w:r>
    </w:p>
    <w:p>
      <w:pPr>
        <w:pStyle w:val="FirstParagraph"/>
      </w:pPr>
      <w:r>
        <w:t xml:space="preserve">This step will transfer all of the Rmd output files (html and docx) to the network for review. It will keep the Rmd files within GitHub so that code is kept in a central place.</w:t>
      </w:r>
      <w:r>
        <w:t xml:space="preserve"> </w:t>
      </w:r>
      <w:r>
        <w:rPr>
          <w:iCs/>
          <w:i/>
        </w:rPr>
        <w:t xml:space="preserve">Always run this chunk of code. If this is the first time you are generating visuals for an indicator, comment out the</w:t>
      </w:r>
      <w:r>
        <w:rPr>
          <w:iCs/>
          <w:i/>
        </w:rPr>
        <w:t xml:space="preserve"> </w:t>
      </w:r>
      <w:r>
        <w:rPr>
          <w:iCs/>
          <w:i/>
        </w:rPr>
        <w:t xml:space="preserve">‘</w:t>
      </w:r>
      <w:r>
        <w:rPr>
          <w:iCs/>
          <w:i/>
        </w:rPr>
        <w:t xml:space="preserve">update</w:t>
      </w:r>
      <w:r>
        <w:rPr>
          <w:iCs/>
          <w:i/>
        </w:rPr>
        <w:t xml:space="preserve">’</w:t>
      </w:r>
      <w:r>
        <w:rPr>
          <w:iCs/>
          <w:i/>
        </w:rPr>
        <w:t xml:space="preserve"> </w:t>
      </w:r>
      <w:r>
        <w:rPr>
          <w:iCs/>
          <w:i/>
        </w:rPr>
        <w:t xml:space="preserve">part of the</w:t>
      </w:r>
      <w:r>
        <w:rPr>
          <w:iCs/>
          <w:i/>
        </w:rPr>
        <w:t xml:space="preserve"> </w:t>
      </w:r>
      <w:r>
        <w:rPr>
          <w:iCs/>
          <w:i/>
        </w:rPr>
        <w:t xml:space="preserve">‘</w:t>
      </w:r>
      <w:r>
        <w:rPr>
          <w:iCs/>
          <w:i/>
        </w:rPr>
        <w:t xml:space="preserve">y.drive.folder.update</w:t>
      </w:r>
      <w:r>
        <w:rPr>
          <w:iCs/>
          <w:i/>
        </w:rPr>
        <w:t xml:space="preserve">’</w:t>
      </w:r>
      <w:r>
        <w:rPr>
          <w:iCs/>
          <w:i/>
        </w:rPr>
        <w:t xml:space="preserve"> </w:t>
      </w:r>
      <w:r>
        <w:rPr>
          <w:iCs/>
          <w:i/>
        </w:rPr>
        <w:t xml:space="preserve">variable because this is the first version that is being created.</w:t>
      </w:r>
    </w:p>
    <w:bookmarkEnd w:id="43"/>
    <w:bookmarkStart w:id="45" w:name="Xbb1acfbb174575c9451033c76341a461b558673"/>
    <w:p>
      <w:pPr>
        <w:pStyle w:val="Heading2"/>
      </w:pPr>
      <w:r>
        <w:t xml:space="preserve">Copy files from Y drive/indicator folder &gt; Y drive/indicator/archive folder</w:t>
      </w:r>
    </w:p>
    <w:p>
      <w:pPr>
        <w:pStyle w:val="FirstParagraph"/>
      </w:pPr>
      <w:r>
        <w:t xml:space="preserve">This step will transfer the previous data and files to the archive folder. This step is meant to retain the older versions in case they are needed for reference.</w:t>
      </w:r>
      <w:r>
        <w:t xml:space="preserve"> </w:t>
      </w:r>
      <w:r>
        <w:rPr>
          <w:iCs/>
          <w:i/>
        </w:rPr>
        <w:t xml:space="preserve">Only run this chunk of code if updating visuals for indicator - if there is already existing visuals on a webpage. Don’t run if this is the first time visuals are being created for indicator.</w:t>
      </w:r>
    </w:p>
    <w:bookmarkStart w:id="44" w:name="delete-old-files-from-indicator-folder"/>
    <w:p>
      <w:pPr>
        <w:pStyle w:val="Heading3"/>
      </w:pPr>
      <w:r>
        <w:t xml:space="preserve">Delete old files from indicator folder</w:t>
      </w:r>
    </w:p>
    <w:p>
      <w:pPr>
        <w:pStyle w:val="FirstParagraph"/>
      </w:pPr>
      <w:r>
        <w:t xml:space="preserve">This step will clean the indicator folder to make room for the new versions.</w:t>
      </w:r>
      <w:r>
        <w:t xml:space="preserve"> </w:t>
      </w:r>
      <w:r>
        <w:rPr>
          <w:iCs/>
          <w:i/>
        </w:rPr>
        <w:t xml:space="preserve">Only run this chunk of code if updating visuals for indicator - if there is already existing visuals on a webpage. Don’t run if this is the first time visuals are being created for indicator.</w:t>
      </w:r>
    </w:p>
    <w:bookmarkEnd w:id="44"/>
    <w:bookmarkEnd w:id="45"/>
    <w:bookmarkStart w:id="46" w:name="X5c167aee031190cc18df0fb964d2a8114ccd5b1"/>
    <w:p>
      <w:pPr>
        <w:pStyle w:val="Heading2"/>
      </w:pPr>
      <w:r>
        <w:t xml:space="preserve">Copy new files from Y drive/update folder &gt; Y drive/indicator folder</w:t>
      </w:r>
    </w:p>
    <w:p>
      <w:pPr>
        <w:pStyle w:val="FirstParagraph"/>
      </w:pPr>
      <w:r>
        <w:t xml:space="preserve">This step will move all of the updated data/files to the general indicator folder. They should be moved from the update (draft staging directory) to the parent folder so that the htmls can be copied to the webpage folder (outside the firewall).</w:t>
      </w:r>
      <w:r>
        <w:t xml:space="preserve"> </w:t>
      </w:r>
      <w:r>
        <w:rPr>
          <w:iCs/>
          <w:i/>
        </w:rPr>
        <w:t xml:space="preserve">Only run this chunk of code if updating visuals for indicator - if there is already existing visuals on a webpage. Don’t run if this is the first time visuals are being created for indicator.</w:t>
      </w:r>
    </w:p>
    <w:bookmarkEnd w:id="46"/>
    <w:bookmarkStart w:id="47" w:name="clear-y-driveupdate-folder"/>
    <w:p>
      <w:pPr>
        <w:pStyle w:val="Heading2"/>
      </w:pPr>
      <w:r>
        <w:t xml:space="preserve">Clear Y drive/update folder</w:t>
      </w:r>
    </w:p>
    <w:p>
      <w:pPr>
        <w:pStyle w:val="FirstParagraph"/>
      </w:pPr>
      <w:r>
        <w:t xml:space="preserve">This step will help keep the folders organized and ready for the next update.</w:t>
      </w:r>
      <w:r>
        <w:rPr>
          <w:iCs/>
          <w:i/>
        </w:rPr>
        <w:t xml:space="preserve">Only run this chunk of code if updating visuals for indicator - if there is already existing visuals on a webpage. Don’t run if this is the first time visuals are being created for indicator.</w:t>
      </w:r>
    </w:p>
    <w:bookmarkEnd w:id="47"/>
    <w:bookmarkStart w:id="48" w:name="X4ee440d8626772ab49e55e936608f011f1ed9fd"/>
    <w:p>
      <w:pPr>
        <w:pStyle w:val="Heading2"/>
      </w:pPr>
      <w:r>
        <w:t xml:space="preserve">Copy files from Y drive/indicator folder &gt; website folder</w:t>
      </w:r>
    </w:p>
    <w:p>
      <w:pPr>
        <w:pStyle w:val="FirstParagraph"/>
      </w:pPr>
      <w:r>
        <w:t xml:space="preserve">This step copies the htmls for the webpage (3 visuals) from the network to the folder outside the firewall- this</w:t>
      </w:r>
      <w:r>
        <w:t xml:space="preserve"> </w:t>
      </w:r>
      <w:r>
        <w:t xml:space="preserve">‘</w:t>
      </w:r>
      <w:r>
        <w:t xml:space="preserve">external</w:t>
      </w:r>
      <w:r>
        <w:t xml:space="preserve">’</w:t>
      </w:r>
      <w:r>
        <w:t xml:space="preserve"> </w:t>
      </w:r>
      <w:r>
        <w:t xml:space="preserve">folder connects directly to the webpage.</w:t>
      </w:r>
      <w:r>
        <w:t xml:space="preserve"> </w:t>
      </w:r>
      <w:r>
        <w:rPr>
          <w:iCs/>
          <w:i/>
        </w:rPr>
        <w:t xml:space="preserve">Always run this chunk of code.</w:t>
      </w:r>
    </w:p>
    <w:p>
      <w:pPr>
        <w:pStyle w:val="BodyText"/>
      </w:pPr>
      <w:r>
        <w:t xml:space="preserve">Back to top of the page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5" Target="media/rId3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Voter Participation</dc:title>
  <dc:creator>Mary Richards</dc:creator>
  <cp:keywords/>
  <dcterms:created xsi:type="dcterms:W3CDTF">2025-10-28T17:25:48Z</dcterms:created>
  <dcterms:modified xsi:type="dcterms:W3CDTF">2025-10-28T17:25:48Z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28, 2025</vt:lpwstr>
  </property>
  <property fmtid="{D5CDD505-2E9C-101B-9397-08002B2CF9AE}" pid="3" name="output">
    <vt:lpwstr/>
  </property>
  <property fmtid="{D5CDD505-2E9C-101B-9397-08002B2CF9AE}" pid="4" name="subtitle">
    <vt:lpwstr>Visuals for Equity Tracker (tract data)</vt:lpwstr>
  </property>
</Properties>
</file>