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C725" w14:textId="06B75B2B" w:rsidR="00196879" w:rsidRPr="00196879" w:rsidRDefault="00196879" w:rsidP="00196879">
      <w:pPr>
        <w:jc w:val="center"/>
        <w:rPr>
          <w:b/>
          <w:bCs/>
        </w:rPr>
      </w:pPr>
      <w:r w:rsidRPr="00196879">
        <w:rPr>
          <w:b/>
          <w:bCs/>
        </w:rPr>
        <w:t>P&amp;D sobre Usinas Hidrelétricas Reversíveis</w:t>
      </w:r>
    </w:p>
    <w:p w14:paraId="5A6DEF19" w14:textId="2468A447" w:rsidR="00196879" w:rsidRDefault="00196879" w:rsidP="00196879">
      <w:pPr>
        <w:jc w:val="center"/>
        <w:rPr>
          <w:b/>
          <w:bCs/>
        </w:rPr>
      </w:pPr>
      <w:r w:rsidRPr="00196879">
        <w:rPr>
          <w:b/>
          <w:bCs/>
        </w:rPr>
        <w:t>Reuni</w:t>
      </w:r>
      <w:r w:rsidR="001C01E9">
        <w:rPr>
          <w:b/>
          <w:bCs/>
        </w:rPr>
        <w:t>ão</w:t>
      </w:r>
      <w:r w:rsidRPr="00196879">
        <w:rPr>
          <w:b/>
          <w:bCs/>
        </w:rPr>
        <w:t xml:space="preserve"> de 03/08</w:t>
      </w:r>
      <w:r w:rsidR="001C01E9">
        <w:rPr>
          <w:b/>
          <w:bCs/>
        </w:rPr>
        <w:t xml:space="preserve"> </w:t>
      </w:r>
      <w:r w:rsidRPr="00196879">
        <w:rPr>
          <w:b/>
          <w:bCs/>
        </w:rPr>
        <w:t>entre PSR e COBA</w:t>
      </w:r>
      <w:r w:rsidR="001C01E9">
        <w:rPr>
          <w:b/>
          <w:bCs/>
        </w:rPr>
        <w:t>, ambas</w:t>
      </w:r>
      <w:r w:rsidRPr="00196879">
        <w:rPr>
          <w:b/>
          <w:bCs/>
        </w:rPr>
        <w:t xml:space="preserve"> às 14h (Brasília</w:t>
      </w:r>
      <w:r w:rsidR="001C01E9">
        <w:rPr>
          <w:b/>
          <w:bCs/>
        </w:rPr>
        <w:t>)</w:t>
      </w:r>
    </w:p>
    <w:p w14:paraId="0D31D532" w14:textId="77777777" w:rsidR="00072A78" w:rsidRDefault="007A6E0A" w:rsidP="007A6E0A">
      <w:pPr>
        <w:jc w:val="center"/>
        <w:rPr>
          <w:b/>
          <w:bCs/>
        </w:rPr>
      </w:pPr>
      <w:r w:rsidRPr="00196879">
        <w:rPr>
          <w:b/>
          <w:bCs/>
        </w:rPr>
        <w:t>Ajuda</w:t>
      </w:r>
      <w:r w:rsidR="00634157">
        <w:rPr>
          <w:b/>
          <w:bCs/>
        </w:rPr>
        <w:t>-</w:t>
      </w:r>
      <w:r w:rsidRPr="00196879">
        <w:rPr>
          <w:b/>
          <w:bCs/>
        </w:rPr>
        <w:t xml:space="preserve">memória </w:t>
      </w:r>
    </w:p>
    <w:p w14:paraId="0497F2EE" w14:textId="0284D2F3" w:rsidR="00072A78" w:rsidRDefault="00072A78" w:rsidP="00072A78">
      <w:pPr>
        <w:rPr>
          <w:b/>
          <w:bCs/>
        </w:rPr>
      </w:pPr>
      <w:r>
        <w:rPr>
          <w:b/>
          <w:bCs/>
        </w:rPr>
        <w:t>Observações:</w:t>
      </w:r>
    </w:p>
    <w:p w14:paraId="7DBBC615" w14:textId="7B22711D" w:rsidR="007A6E0A" w:rsidRPr="00072A78" w:rsidRDefault="00072A78" w:rsidP="00072A78">
      <w:r>
        <w:t>I</w:t>
      </w:r>
      <w:r w:rsidR="00B01DFD" w:rsidRPr="00072A78">
        <w:t>nclui</w:t>
      </w:r>
      <w:r w:rsidR="006E1C08" w:rsidRPr="00072A78">
        <w:t xml:space="preserve"> comentários posteriores</w:t>
      </w:r>
      <w:r w:rsidR="001C01E9" w:rsidRPr="00072A78">
        <w:t xml:space="preserve"> </w:t>
      </w:r>
      <w:r>
        <w:t xml:space="preserve">feitos pela PSR </w:t>
      </w:r>
      <w:r w:rsidRPr="00072A78">
        <w:t xml:space="preserve">e complementações </w:t>
      </w:r>
      <w:r>
        <w:t>da COBA na reunião de</w:t>
      </w:r>
      <w:r w:rsidRPr="00072A78">
        <w:t xml:space="preserve"> 26/08</w:t>
      </w:r>
    </w:p>
    <w:p w14:paraId="749EBBA0" w14:textId="46A6D818" w:rsidR="002D0072" w:rsidRPr="00E41385" w:rsidRDefault="00196879">
      <w:pPr>
        <w:rPr>
          <w:b/>
          <w:bCs/>
        </w:rPr>
      </w:pPr>
      <w:r w:rsidRPr="00E41385">
        <w:rPr>
          <w:b/>
          <w:bCs/>
        </w:rPr>
        <w:t xml:space="preserve">Diretrizes </w:t>
      </w:r>
      <w:r w:rsidR="004E4421">
        <w:rPr>
          <w:b/>
          <w:bCs/>
        </w:rPr>
        <w:t>g</w:t>
      </w:r>
      <w:r w:rsidRPr="00E41385">
        <w:rPr>
          <w:b/>
          <w:bCs/>
        </w:rPr>
        <w:t>erais:</w:t>
      </w:r>
    </w:p>
    <w:p w14:paraId="59027F86" w14:textId="77E7DB7B" w:rsidR="00196879" w:rsidRDefault="00E41385" w:rsidP="00196879">
      <w:r>
        <w:t>PSR reforçou objetivo de g</w:t>
      </w:r>
      <w:r w:rsidR="00196879" w:rsidRPr="00196879">
        <w:t>erar soluções genéricas de arranjo de engenharia de forma automática e que possam ser aplicadas em qualquer terreno.</w:t>
      </w:r>
    </w:p>
    <w:p w14:paraId="14DBEF34" w14:textId="57C34F0B" w:rsidR="00E41385" w:rsidRDefault="00E41385" w:rsidP="00196879">
      <w:r>
        <w:t xml:space="preserve">PSR recordou etapas do módulo de UHR no HERA, destacando que os temas a serem discutidos na reunião abrangem as fases de detalhamento do projeto de engenharia </w:t>
      </w:r>
      <w:proofErr w:type="gramStart"/>
      <w:r>
        <w:t>e também</w:t>
      </w:r>
      <w:proofErr w:type="gramEnd"/>
      <w:r>
        <w:t xml:space="preserve"> a de busca intensiva. </w:t>
      </w:r>
    </w:p>
    <w:p w14:paraId="0B79EEF9" w14:textId="3DA62DEB" w:rsidR="00196879" w:rsidRPr="00196879" w:rsidRDefault="00E41385" w:rsidP="00196879">
      <w:pPr>
        <w:rPr>
          <w:b/>
          <w:bCs/>
        </w:rPr>
      </w:pPr>
      <w:r w:rsidRPr="00E41385">
        <w:rPr>
          <w:b/>
          <w:bCs/>
        </w:rPr>
        <w:t xml:space="preserve">Lacunas do </w:t>
      </w:r>
      <w:r w:rsidR="004E4421">
        <w:rPr>
          <w:b/>
          <w:bCs/>
        </w:rPr>
        <w:t>m</w:t>
      </w:r>
      <w:r w:rsidRPr="00E41385">
        <w:rPr>
          <w:b/>
          <w:bCs/>
        </w:rPr>
        <w:t xml:space="preserve">ódulo de </w:t>
      </w:r>
      <w:r w:rsidR="004E4421">
        <w:rPr>
          <w:b/>
          <w:bCs/>
        </w:rPr>
        <w:t>e</w:t>
      </w:r>
      <w:r w:rsidRPr="00E41385">
        <w:rPr>
          <w:b/>
          <w:bCs/>
        </w:rPr>
        <w:t>ngenharia:</w:t>
      </w:r>
    </w:p>
    <w:p w14:paraId="0B101970" w14:textId="33B9B6F2" w:rsidR="00196879" w:rsidRDefault="00E41385">
      <w:r>
        <w:t>PSR reaprese</w:t>
      </w:r>
      <w:r w:rsidR="004E4421">
        <w:t>nt</w:t>
      </w:r>
      <w:r>
        <w:t>ou relação de temas de interesse ao projeto de P&amp;D apenas para registro.</w:t>
      </w:r>
    </w:p>
    <w:p w14:paraId="76AC2DF7" w14:textId="636C5CD2" w:rsidR="004E4421" w:rsidRPr="004E4421" w:rsidRDefault="004E4421">
      <w:pPr>
        <w:rPr>
          <w:b/>
          <w:bCs/>
        </w:rPr>
      </w:pPr>
      <w:r w:rsidRPr="004E4421">
        <w:rPr>
          <w:b/>
          <w:bCs/>
        </w:rPr>
        <w:t>Dimensionamento da potência da bomba:</w:t>
      </w:r>
    </w:p>
    <w:p w14:paraId="1A2E502F" w14:textId="0A6DBBF8" w:rsidR="00462A18" w:rsidRDefault="004E4421">
      <w:r>
        <w:t>PSR apresentou dúvidas relativas à estrutura de dados para determinação da potência da bomba.</w:t>
      </w:r>
      <w:r w:rsidR="00462A18">
        <w:t xml:space="preserve"> A principal questão estrutural é definir se o tempo de bombeamento seria </w:t>
      </w:r>
      <w:r w:rsidR="00E07B31">
        <w:t>dado de entrada a ser preenchido livremente pelo usuário do modelo, ou se pode haver uma padronização dos valores, conforme ciclos operativos pré-definidos, para evitar o processamento de alternativas inviáveis.</w:t>
      </w:r>
    </w:p>
    <w:p w14:paraId="1C3C0397" w14:textId="445576BE" w:rsidR="00E07B31" w:rsidRDefault="00E07B31" w:rsidP="00E07B31">
      <w:r>
        <w:t>Durante a conversa, a PSR sugeriu um tempo de bombeamento máximo como dado de entrada.</w:t>
      </w:r>
      <w:r w:rsidR="00487605">
        <w:t xml:space="preserve"> Mostrou como a potência da bomba é calculada na planilha.</w:t>
      </w:r>
    </w:p>
    <w:p w14:paraId="05F9B79A" w14:textId="4562881B" w:rsidR="004E4421" w:rsidRDefault="004E4421">
      <w:r>
        <w:t xml:space="preserve">COBA ressaltou a importância de identificar as necessidades do sistema para definir </w:t>
      </w:r>
      <w:r w:rsidR="00462A18">
        <w:t>modos de operações padronizados. Ficou de fazer sugestões e recomendações nesse sentido.</w:t>
      </w:r>
    </w:p>
    <w:p w14:paraId="700C3BE3" w14:textId="2F18C43F" w:rsidR="00E07B31" w:rsidRDefault="00E07B31" w:rsidP="00B01DFD">
      <w:pPr>
        <w:ind w:left="708"/>
        <w:rPr>
          <w:i/>
          <w:iCs/>
        </w:rPr>
      </w:pPr>
      <w:r w:rsidRPr="00986873">
        <w:rPr>
          <w:b/>
          <w:bCs/>
          <w:i/>
          <w:iCs/>
        </w:rPr>
        <w:t>Comentário</w:t>
      </w:r>
      <w:r w:rsidR="007A6E0A" w:rsidRPr="00986873">
        <w:rPr>
          <w:b/>
          <w:bCs/>
          <w:i/>
          <w:iCs/>
        </w:rPr>
        <w:t xml:space="preserve"> PSR</w:t>
      </w:r>
      <w:r w:rsidRPr="00986873">
        <w:rPr>
          <w:b/>
          <w:bCs/>
          <w:i/>
          <w:iCs/>
        </w:rPr>
        <w:t>:</w:t>
      </w:r>
      <w:r w:rsidRPr="00E07B31">
        <w:rPr>
          <w:i/>
          <w:iCs/>
        </w:rPr>
        <w:t xml:space="preserve"> </w:t>
      </w:r>
      <w:r>
        <w:rPr>
          <w:i/>
          <w:iCs/>
        </w:rPr>
        <w:t>O projeto de P&amp;D compreende também uma abordagem top-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cujo objetivo é definir os requisitos do sistema utilizando os modelos de otimização da PSR.</w:t>
      </w:r>
      <w:r w:rsidR="00D85C3A">
        <w:rPr>
          <w:i/>
          <w:iCs/>
        </w:rPr>
        <w:t xml:space="preserve"> </w:t>
      </w:r>
      <w:r w:rsidR="00D85C3A" w:rsidRPr="00F120DB">
        <w:rPr>
          <w:i/>
          <w:iCs/>
        </w:rPr>
        <w:t xml:space="preserve">Se for </w:t>
      </w:r>
      <w:r w:rsidR="00E4238C" w:rsidRPr="00F120DB">
        <w:rPr>
          <w:i/>
          <w:iCs/>
        </w:rPr>
        <w:t>de interesse,</w:t>
      </w:r>
      <w:r w:rsidR="00D85C3A" w:rsidRPr="00F120DB">
        <w:rPr>
          <w:i/>
          <w:iCs/>
        </w:rPr>
        <w:t xml:space="preserve"> a PSR </w:t>
      </w:r>
      <w:r w:rsidR="00E4238C" w:rsidRPr="00F120DB">
        <w:rPr>
          <w:i/>
          <w:iCs/>
        </w:rPr>
        <w:t xml:space="preserve">poderá apresentar </w:t>
      </w:r>
      <w:r w:rsidR="00D85C3A" w:rsidRPr="00F120DB">
        <w:rPr>
          <w:i/>
          <w:iCs/>
        </w:rPr>
        <w:t xml:space="preserve">as modelagens </w:t>
      </w:r>
      <w:r w:rsidR="00E4238C" w:rsidRPr="00F120DB">
        <w:rPr>
          <w:i/>
          <w:iCs/>
        </w:rPr>
        <w:t>realizadas até o momento para o projeto</w:t>
      </w:r>
      <w:r w:rsidR="00D85C3A" w:rsidRPr="00F120DB">
        <w:rPr>
          <w:i/>
          <w:iCs/>
        </w:rPr>
        <w:t>.</w:t>
      </w:r>
    </w:p>
    <w:p w14:paraId="6B93A4EB" w14:textId="1B403E7C" w:rsidR="00E07B31" w:rsidRPr="00CF7FB8" w:rsidRDefault="00CF7FB8">
      <w:pPr>
        <w:rPr>
          <w:b/>
          <w:bCs/>
        </w:rPr>
      </w:pPr>
      <w:r w:rsidRPr="00CF7FB8">
        <w:rPr>
          <w:b/>
          <w:bCs/>
        </w:rPr>
        <w:t>Critérios de dimensionamento e arranjo:</w:t>
      </w:r>
    </w:p>
    <w:p w14:paraId="0AA9D08D" w14:textId="7225B1C8" w:rsidR="00CF7FB8" w:rsidRDefault="00163D02">
      <w:r>
        <w:t>PSR apresentou dúvidas em relação a velocidades de dimensionamento dos circuitos hidráulicos de reversíveis quando comparadas a usinas convencionais e ao dimensionamento da tomada d’água de bombeamento, que parece ser mais robusta estruturalmente que a de geração.</w:t>
      </w:r>
    </w:p>
    <w:p w14:paraId="04D37688" w14:textId="0DD28102" w:rsidR="00E538A8" w:rsidRDefault="00163D02">
      <w:r>
        <w:t xml:space="preserve">COBA confirmou que as velocidades tendem a ser menores no circuito hidráulico de reversíveis, limitadas a 5m/s. </w:t>
      </w:r>
      <w:r w:rsidR="003A29B6">
        <w:t xml:space="preserve">Destacou a importância de se calcular as perdas não só para a função de </w:t>
      </w:r>
      <w:r w:rsidR="00D23EDB">
        <w:t>geração,</w:t>
      </w:r>
      <w:r w:rsidR="003A29B6">
        <w:t xml:space="preserve"> mas também a de bombeamento. </w:t>
      </w:r>
      <w:r w:rsidR="00E538A8">
        <w:t>Para fins comparativos, sugere que se procure manter rendimento equivalente para a todas as alternativas</w:t>
      </w:r>
      <w:r w:rsidR="00D23EDB">
        <w:t xml:space="preserve"> (em torno de 75%</w:t>
      </w:r>
      <w:r w:rsidR="00870377">
        <w:t>, incluindo as perdas</w:t>
      </w:r>
      <w:r w:rsidR="00D23EDB">
        <w:t>)</w:t>
      </w:r>
      <w:r w:rsidR="00E538A8">
        <w:t>.</w:t>
      </w:r>
    </w:p>
    <w:p w14:paraId="6B621AD8" w14:textId="0E217D73" w:rsidR="00163D02" w:rsidRDefault="00E538A8">
      <w:r>
        <w:lastRenderedPageBreak/>
        <w:t>COBA n</w:t>
      </w:r>
      <w:r w:rsidR="00163D02">
        <w:t xml:space="preserve">ão </w:t>
      </w:r>
      <w:r>
        <w:t xml:space="preserve">vê diferenças relevantes entre as duas </w:t>
      </w:r>
      <w:r w:rsidRPr="00FA4126">
        <w:t xml:space="preserve">tomadas </w:t>
      </w:r>
      <w:r w:rsidR="002B2EEF" w:rsidRPr="00FA4126">
        <w:t>d’água (bombeamento e geração)</w:t>
      </w:r>
      <w:r w:rsidRPr="00FA4126">
        <w:t>, embora</w:t>
      </w:r>
      <w:r>
        <w:t xml:space="preserve"> concorde que seja interessante perdas de cargas menores na de bombeamento e entenda que a estrutura seja sim mais robusta quando a captação ocorre diretamente em curso d’água.</w:t>
      </w:r>
    </w:p>
    <w:p w14:paraId="0B9A4EC5" w14:textId="6C284053" w:rsidR="003A29B6" w:rsidRDefault="003A29B6">
      <w:r>
        <w:t xml:space="preserve">COBA </w:t>
      </w:r>
      <w:r w:rsidR="009B553E">
        <w:t xml:space="preserve">ressaltou a importância de se ter soluções que desvinculem o barramento dos circuitos (inclusive para as convencionais) e </w:t>
      </w:r>
      <w:r>
        <w:t>apresentou sugestões de arranjos alternativos mais comuns:</w:t>
      </w:r>
    </w:p>
    <w:p w14:paraId="203EFB0F" w14:textId="3CF5676E" w:rsidR="003A29B6" w:rsidRDefault="003A29B6" w:rsidP="003A29B6">
      <w:pPr>
        <w:pStyle w:val="PargrafodaLista"/>
        <w:numPr>
          <w:ilvl w:val="0"/>
          <w:numId w:val="2"/>
        </w:numPr>
      </w:pPr>
      <w:r>
        <w:t>Para vazões de dimensionamento menores e, dependendo das características do terreno entre os reservatórios, solução com condutos forçados aparentes e casa de força a céu aberto.</w:t>
      </w:r>
    </w:p>
    <w:p w14:paraId="7F39F2F5" w14:textId="5F388F03" w:rsidR="003A29B6" w:rsidRDefault="003A29B6" w:rsidP="003A29B6">
      <w:pPr>
        <w:pStyle w:val="PargrafodaLista"/>
        <w:numPr>
          <w:ilvl w:val="0"/>
          <w:numId w:val="2"/>
        </w:numPr>
      </w:pPr>
      <w:r>
        <w:t xml:space="preserve">Dependendo também do terreno, </w:t>
      </w:r>
      <w:r w:rsidR="00C3351D">
        <w:t xml:space="preserve">a solução com </w:t>
      </w:r>
      <w:r w:rsidR="00D23EDB">
        <w:t xml:space="preserve">túneis </w:t>
      </w:r>
      <w:r w:rsidR="00C3351D">
        <w:t>e</w:t>
      </w:r>
      <w:r w:rsidR="00D23EDB">
        <w:t xml:space="preserve"> </w:t>
      </w:r>
      <w:r>
        <w:t xml:space="preserve">casa de força </w:t>
      </w:r>
      <w:r w:rsidR="00D23EDB">
        <w:t>a céu aberto.</w:t>
      </w:r>
    </w:p>
    <w:p w14:paraId="17D33E6F" w14:textId="6BD51B32" w:rsidR="009B553E" w:rsidRDefault="009B553E" w:rsidP="003A29B6">
      <w:pPr>
        <w:pStyle w:val="PargrafodaLista"/>
        <w:numPr>
          <w:ilvl w:val="0"/>
          <w:numId w:val="2"/>
        </w:numPr>
      </w:pPr>
      <w:r>
        <w:t>Para potência / vazões de dimensionamento maiores, túneis e casa de força em caverna (condicionadas às características do terreno), de acordo com o arranjo “piloto” que já está sendo aplicado no modelo</w:t>
      </w:r>
    </w:p>
    <w:p w14:paraId="6D9C8DE6" w14:textId="59183156" w:rsidR="00D23EDB" w:rsidRDefault="00870377" w:rsidP="00D23EDB">
      <w:r>
        <w:t xml:space="preserve">PSR apresentou solução para definição do posicionamento da casa de força a partir da ponderação dos custos relativos dos trechos de túnel de alta pressão, </w:t>
      </w:r>
      <w:r w:rsidR="00815B47">
        <w:t>túnel de fuga e janela de acesso</w:t>
      </w:r>
      <w:r w:rsidR="00380865">
        <w:t>.</w:t>
      </w:r>
    </w:p>
    <w:p w14:paraId="0B61C7B4" w14:textId="11B0CF66" w:rsidR="00815B47" w:rsidRDefault="00815B47" w:rsidP="00815B47">
      <w:pPr>
        <w:rPr>
          <w:b/>
          <w:bCs/>
        </w:rPr>
      </w:pPr>
      <w:r w:rsidRPr="00815B47">
        <w:rPr>
          <w:b/>
          <w:bCs/>
        </w:rPr>
        <w:t>Volumes e custos para conjuntos reversíveis</w:t>
      </w:r>
      <w:r>
        <w:rPr>
          <w:b/>
          <w:bCs/>
        </w:rPr>
        <w:t>:</w:t>
      </w:r>
    </w:p>
    <w:p w14:paraId="471147F5" w14:textId="0BB3A66F" w:rsidR="00815B47" w:rsidRDefault="00815B47" w:rsidP="00815B47">
      <w:r w:rsidRPr="00815B47">
        <w:t xml:space="preserve">PSR apresentou as soluções do Manual de Inventário para </w:t>
      </w:r>
      <w:r w:rsidR="00983F07">
        <w:t xml:space="preserve">volumes da casa de força e custos de equipamentos de </w:t>
      </w:r>
      <w:r w:rsidRPr="00815B47">
        <w:t>usinas convencionais</w:t>
      </w:r>
      <w:r>
        <w:t>, ressaltando suas limitações,</w:t>
      </w:r>
      <w:r w:rsidRPr="00815B47">
        <w:t xml:space="preserve"> </w:t>
      </w:r>
      <w:r>
        <w:t xml:space="preserve">além de </w:t>
      </w:r>
      <w:r w:rsidRPr="00815B47">
        <w:t>possibilidades de adaptação para reversíveis na etapa de projeto de engenharia do HERA.</w:t>
      </w:r>
      <w:r>
        <w:t xml:space="preserve"> </w:t>
      </w:r>
    </w:p>
    <w:p w14:paraId="60A983A7" w14:textId="6DD0B891" w:rsidR="00815B47" w:rsidRDefault="00815B47" w:rsidP="00815B47">
      <w:r>
        <w:t>COBA ficou de trazer sugestões e mostrar curvas aplicadas de valor agregado em projetos recentes, que servirão para calibração dos critérios a serem adotados na engenharia do HERA para</w:t>
      </w:r>
      <w:r w:rsidR="00BB2593">
        <w:t xml:space="preserve"> </w:t>
      </w:r>
      <w:r>
        <w:t xml:space="preserve">o projeto de P&amp;D. Adiantou que os volumes </w:t>
      </w:r>
      <w:r w:rsidR="00BB2593">
        <w:t xml:space="preserve">civis </w:t>
      </w:r>
      <w:r>
        <w:t xml:space="preserve">seriam da ordem de 10% a 15% maiores </w:t>
      </w:r>
      <w:r w:rsidR="00BB2593">
        <w:t xml:space="preserve">(salas para equipamentos auxiliares) </w:t>
      </w:r>
      <w:r>
        <w:t>que os de usinas convencionais</w:t>
      </w:r>
      <w:r w:rsidR="00BB2593">
        <w:t xml:space="preserve">, </w:t>
      </w:r>
      <w:r w:rsidR="005C6BAD">
        <w:t>e</w:t>
      </w:r>
      <w:r w:rsidR="00072A78">
        <w:t>nquanto</w:t>
      </w:r>
      <w:r w:rsidR="005C6BAD">
        <w:t xml:space="preserve"> </w:t>
      </w:r>
      <w:r w:rsidR="001C01E9">
        <w:t xml:space="preserve">os custos dos equipamentos, cerca de </w:t>
      </w:r>
      <w:r w:rsidR="00BB2593">
        <w:t>20%.</w:t>
      </w:r>
    </w:p>
    <w:p w14:paraId="7925DB51" w14:textId="4D1EA2E3" w:rsidR="003A0ED4" w:rsidRDefault="003A0ED4" w:rsidP="00B01DFD">
      <w:pPr>
        <w:ind w:left="708"/>
        <w:rPr>
          <w:i/>
          <w:iCs/>
        </w:rPr>
      </w:pPr>
      <w:r w:rsidRPr="00986873">
        <w:rPr>
          <w:b/>
          <w:bCs/>
          <w:i/>
          <w:iCs/>
        </w:rPr>
        <w:t>Comentário</w:t>
      </w:r>
      <w:r w:rsidR="007A6E0A" w:rsidRPr="00986873">
        <w:rPr>
          <w:b/>
          <w:bCs/>
          <w:i/>
          <w:iCs/>
        </w:rPr>
        <w:t xml:space="preserve"> PSR</w:t>
      </w:r>
      <w:r w:rsidRPr="00986873">
        <w:rPr>
          <w:b/>
          <w:bCs/>
          <w:i/>
          <w:iCs/>
        </w:rPr>
        <w:t>:</w:t>
      </w:r>
      <w:r w:rsidRPr="00E07B31">
        <w:rPr>
          <w:i/>
          <w:iCs/>
        </w:rPr>
        <w:t xml:space="preserve"> </w:t>
      </w:r>
      <w:r>
        <w:rPr>
          <w:i/>
          <w:iCs/>
        </w:rPr>
        <w:t>Na apresentação foram revistos os conceitos para classificação dos tipos de equipamentos para conjuntos reversíveis x conjuntos com turbina e bomba separados. A classificação utilizada incialmente pela PSR considerava sistemas binários aqueles com turbina/bomba e gerador/motor, sistemas ternários com gerador/motor e bombas separadas de turbinas, e sistemas quaternários com todos os equipamentos separados.</w:t>
      </w:r>
    </w:p>
    <w:p w14:paraId="57F73DDC" w14:textId="407E03EC" w:rsidR="007A6E0A" w:rsidRPr="007A6E0A" w:rsidRDefault="007A6E0A" w:rsidP="007A6E0A">
      <w:pPr>
        <w:rPr>
          <w:b/>
          <w:bCs/>
        </w:rPr>
      </w:pPr>
      <w:r w:rsidRPr="007A6E0A">
        <w:rPr>
          <w:b/>
          <w:bCs/>
        </w:rPr>
        <w:t xml:space="preserve">Custos no </w:t>
      </w:r>
      <w:proofErr w:type="spellStart"/>
      <w:r w:rsidRPr="007A6E0A">
        <w:rPr>
          <w:b/>
          <w:bCs/>
          <w:i/>
          <w:iCs/>
        </w:rPr>
        <w:t>screening</w:t>
      </w:r>
      <w:proofErr w:type="spellEnd"/>
      <w:r>
        <w:rPr>
          <w:b/>
          <w:bCs/>
        </w:rPr>
        <w:t>:</w:t>
      </w:r>
    </w:p>
    <w:p w14:paraId="530C1A8F" w14:textId="77777777" w:rsidR="00BC2663" w:rsidRDefault="00983F07" w:rsidP="003A0ED4">
      <w:r w:rsidRPr="00815B47">
        <w:t xml:space="preserve">PSR apresentou as soluções para </w:t>
      </w:r>
      <w:r>
        <w:t xml:space="preserve">volumes da casa de força e custos de equipamentos de </w:t>
      </w:r>
      <w:r w:rsidRPr="00815B47">
        <w:t>usinas convencionais</w:t>
      </w:r>
      <w:r>
        <w:t xml:space="preserve"> utilizadas no </w:t>
      </w:r>
      <w:proofErr w:type="spellStart"/>
      <w:r w:rsidRPr="00983F07">
        <w:rPr>
          <w:i/>
          <w:iCs/>
        </w:rPr>
        <w:t>screening</w:t>
      </w:r>
      <w:proofErr w:type="spellEnd"/>
      <w:r w:rsidR="006E7430">
        <w:t>.</w:t>
      </w:r>
      <w:r>
        <w:t xml:space="preserve"> </w:t>
      </w:r>
      <w:r w:rsidR="006E7430">
        <w:t>D</w:t>
      </w:r>
      <w:r>
        <w:t>estac</w:t>
      </w:r>
      <w:r w:rsidR="006E7430">
        <w:t>ou</w:t>
      </w:r>
      <w:r>
        <w:t xml:space="preserve"> a necessidade de validação </w:t>
      </w:r>
      <w:r w:rsidR="006E7430">
        <w:t xml:space="preserve">dos coeficientes utilizados, cujo comportamento relativamente à queda foi definido em conjunto com a GE, e </w:t>
      </w:r>
      <w:r>
        <w:t xml:space="preserve">dos valores obtidos para cada componente de custo. </w:t>
      </w:r>
    </w:p>
    <w:p w14:paraId="4030D47A" w14:textId="762EE730" w:rsidR="003A0ED4" w:rsidRDefault="00BC2663" w:rsidP="003A0ED4">
      <w:r>
        <w:t>PSR a</w:t>
      </w:r>
      <w:r w:rsidR="006E7430">
        <w:t>presentou resultados obtidos para uma variedade de projetos com potência, capacidade de armazenamento e quedas diversas.</w:t>
      </w:r>
    </w:p>
    <w:p w14:paraId="76D1A231" w14:textId="3E35FF07" w:rsidR="006E7430" w:rsidRDefault="00641F42" w:rsidP="003A0ED4">
      <w:r>
        <w:t xml:space="preserve">A princípio, COBA achou o valor percentual de 40% aplicado a </w:t>
      </w:r>
      <w:r w:rsidR="00072A78">
        <w:t>O</w:t>
      </w:r>
      <w:r>
        <w:t xml:space="preserve">utros </w:t>
      </w:r>
      <w:r w:rsidR="00072A78">
        <w:t>C</w:t>
      </w:r>
      <w:r>
        <w:t>ustos alto, bem como o coeficiente de conversão de custo de equipamentos de convencionais para reversíveis</w:t>
      </w:r>
      <w:r w:rsidR="00D72F96">
        <w:t xml:space="preserve"> (1,4)</w:t>
      </w:r>
      <w:r>
        <w:t>.</w:t>
      </w:r>
      <w:r w:rsidR="00FA4126">
        <w:t xml:space="preserve"> </w:t>
      </w:r>
      <w:r w:rsidR="00FA4126" w:rsidRPr="00FA4126">
        <w:t>F</w:t>
      </w:r>
      <w:r w:rsidR="00380865" w:rsidRPr="00FA4126">
        <w:t xml:space="preserve">icou de avaliar em função da experiência em projetos executados, com os dados </w:t>
      </w:r>
      <w:r w:rsidR="00FA4126" w:rsidRPr="00FA4126">
        <w:t xml:space="preserve">de </w:t>
      </w:r>
      <w:r w:rsidR="00380865" w:rsidRPr="00FA4126">
        <w:t xml:space="preserve">que dispõe. </w:t>
      </w:r>
      <w:r w:rsidR="00D72F96" w:rsidRPr="00B01DFD">
        <w:t>As</w:t>
      </w:r>
      <w:r w:rsidR="00380865" w:rsidRPr="00B01DFD">
        <w:t xml:space="preserve"> curvas de custo</w:t>
      </w:r>
      <w:r w:rsidR="00D72F96" w:rsidRPr="00B01DFD">
        <w:t>s agregados que utilizam em seus projetos serão fornecidas à PSR para calibragem de valores</w:t>
      </w:r>
      <w:r w:rsidR="00380865" w:rsidRPr="00B01DFD">
        <w:t>.</w:t>
      </w:r>
    </w:p>
    <w:p w14:paraId="3735FF8A" w14:textId="0F882CE4" w:rsidR="006E7430" w:rsidRPr="003A0ED4" w:rsidRDefault="00BC2663" w:rsidP="00B01DFD">
      <w:pPr>
        <w:ind w:left="708"/>
      </w:pPr>
      <w:r w:rsidRPr="00986873">
        <w:rPr>
          <w:b/>
          <w:bCs/>
          <w:i/>
          <w:iCs/>
        </w:rPr>
        <w:lastRenderedPageBreak/>
        <w:t>Comentário PSR:</w:t>
      </w:r>
      <w:r w:rsidRPr="00E07B31">
        <w:rPr>
          <w:i/>
          <w:iCs/>
        </w:rPr>
        <w:t xml:space="preserve"> </w:t>
      </w:r>
      <w:r>
        <w:rPr>
          <w:i/>
          <w:iCs/>
        </w:rPr>
        <w:t>À exceção dos coeficientes citados na apresentação</w:t>
      </w:r>
      <w:r w:rsidR="00641F42">
        <w:rPr>
          <w:i/>
          <w:iCs/>
        </w:rPr>
        <w:t xml:space="preserve"> (casa de força e equipamentos)</w:t>
      </w:r>
      <w:r>
        <w:rPr>
          <w:i/>
          <w:iCs/>
        </w:rPr>
        <w:t xml:space="preserve">, todos os demais serão editáveis </w:t>
      </w:r>
      <w:r w:rsidR="00641F42">
        <w:rPr>
          <w:i/>
          <w:iCs/>
        </w:rPr>
        <w:t xml:space="preserve">na interface do HERA, facilitando a calibração dos resultados. Em anexo, apresentamos as formulações detalhadas das parcelas do componente de obras civis. </w:t>
      </w:r>
    </w:p>
    <w:p w14:paraId="6466AD4F" w14:textId="54D2035F" w:rsidR="00641F42" w:rsidRDefault="00641F42" w:rsidP="00927999">
      <w:pPr>
        <w:rPr>
          <w:b/>
          <w:bCs/>
        </w:rPr>
      </w:pPr>
      <w:r w:rsidRPr="00641F42">
        <w:rPr>
          <w:b/>
          <w:bCs/>
        </w:rPr>
        <w:t>Próximos passos</w:t>
      </w:r>
      <w:r w:rsidR="00927999">
        <w:rPr>
          <w:b/>
          <w:bCs/>
        </w:rPr>
        <w:t>:</w:t>
      </w:r>
    </w:p>
    <w:p w14:paraId="17D82C01" w14:textId="4619D167" w:rsidR="00641F42" w:rsidRDefault="00927999" w:rsidP="00927999">
      <w:r w:rsidRPr="00927999">
        <w:t xml:space="preserve">PSR </w:t>
      </w:r>
      <w:r>
        <w:t>destacou a possibilidade de contar com a participação da GE em reuniões futuras.</w:t>
      </w:r>
    </w:p>
    <w:p w14:paraId="30D3F490" w14:textId="7EC4A32D" w:rsidR="00462A18" w:rsidRDefault="00927999">
      <w:r>
        <w:t>COBA ficou de apresentar sugestões para data da 3ª reunião e d</w:t>
      </w:r>
      <w:r w:rsidR="00B01DFD">
        <w:t>e</w:t>
      </w:r>
      <w:r>
        <w:t xml:space="preserve"> reuni</w:t>
      </w:r>
      <w:r w:rsidR="00B01DFD">
        <w:t>ões</w:t>
      </w:r>
      <w:r>
        <w:t xml:space="preserve"> presencia</w:t>
      </w:r>
      <w:r w:rsidR="00B01DFD">
        <w:t xml:space="preserve">is </w:t>
      </w:r>
      <w:r>
        <w:t>em Lisboa.</w:t>
      </w:r>
      <w:r w:rsidR="00B01DFD">
        <w:t xml:space="preserve"> </w:t>
      </w:r>
      <w:r>
        <w:t xml:space="preserve">PSR se colocou </w:t>
      </w:r>
      <w:r w:rsidR="00380865">
        <w:t>à</w:t>
      </w:r>
      <w:r>
        <w:t xml:space="preserve"> disposição para apresentar o HERA, incluindo o módulo de reversíveis que está em desenvolvimento, para equipe da COBA</w:t>
      </w:r>
      <w:r w:rsidR="00B01DFD">
        <w:t xml:space="preserve"> nas reuniões presenciais</w:t>
      </w:r>
      <w:r w:rsidR="00380865">
        <w:t>.</w:t>
      </w:r>
    </w:p>
    <w:p w14:paraId="58B4E60A" w14:textId="2EE9EEAB" w:rsidR="00072A78" w:rsidRDefault="00072A78"/>
    <w:p w14:paraId="460E5562" w14:textId="77777777" w:rsidR="00072A78" w:rsidRPr="00196879" w:rsidRDefault="00072A78" w:rsidP="00072A78">
      <w:pPr>
        <w:jc w:val="center"/>
        <w:rPr>
          <w:b/>
          <w:bCs/>
        </w:rPr>
      </w:pPr>
      <w:r w:rsidRPr="00196879">
        <w:rPr>
          <w:b/>
          <w:bCs/>
        </w:rPr>
        <w:t>P&amp;D sobre Usinas Hidrelétricas Reversíveis</w:t>
      </w:r>
    </w:p>
    <w:p w14:paraId="2EEE5C6E" w14:textId="51EBB2E7" w:rsidR="00072A78" w:rsidRDefault="00072A78" w:rsidP="00072A78">
      <w:pPr>
        <w:jc w:val="center"/>
        <w:rPr>
          <w:b/>
          <w:bCs/>
        </w:rPr>
      </w:pPr>
      <w:r w:rsidRPr="00196879">
        <w:rPr>
          <w:b/>
          <w:bCs/>
        </w:rPr>
        <w:t>Reuni</w:t>
      </w:r>
      <w:r>
        <w:rPr>
          <w:b/>
          <w:bCs/>
        </w:rPr>
        <w:t>ão</w:t>
      </w:r>
      <w:r w:rsidRPr="00196879">
        <w:rPr>
          <w:b/>
          <w:bCs/>
        </w:rPr>
        <w:t xml:space="preserve"> de </w:t>
      </w:r>
      <w:r>
        <w:rPr>
          <w:b/>
          <w:bCs/>
        </w:rPr>
        <w:t>26</w:t>
      </w:r>
      <w:r w:rsidRPr="00196879">
        <w:rPr>
          <w:b/>
          <w:bCs/>
        </w:rPr>
        <w:t>/08</w:t>
      </w:r>
      <w:r>
        <w:rPr>
          <w:b/>
          <w:bCs/>
        </w:rPr>
        <w:t xml:space="preserve"> </w:t>
      </w:r>
      <w:r w:rsidRPr="00196879">
        <w:rPr>
          <w:b/>
          <w:bCs/>
        </w:rPr>
        <w:t>entre PSR e COBA</w:t>
      </w:r>
      <w:r>
        <w:rPr>
          <w:b/>
          <w:bCs/>
        </w:rPr>
        <w:t>, ambas</w:t>
      </w:r>
      <w:r w:rsidRPr="00196879">
        <w:rPr>
          <w:b/>
          <w:bCs/>
        </w:rPr>
        <w:t xml:space="preserve"> às 14h (Brasília</w:t>
      </w:r>
      <w:r>
        <w:rPr>
          <w:b/>
          <w:bCs/>
        </w:rPr>
        <w:t>)</w:t>
      </w:r>
    </w:p>
    <w:p w14:paraId="5F75D236" w14:textId="021B3DD3" w:rsidR="00072A78" w:rsidRDefault="00072A78" w:rsidP="00072A78">
      <w:pPr>
        <w:jc w:val="center"/>
        <w:rPr>
          <w:b/>
          <w:bCs/>
        </w:rPr>
      </w:pPr>
      <w:r w:rsidRPr="00196879">
        <w:rPr>
          <w:b/>
          <w:bCs/>
        </w:rPr>
        <w:t>Ajuda</w:t>
      </w:r>
      <w:r>
        <w:rPr>
          <w:b/>
          <w:bCs/>
        </w:rPr>
        <w:t>-</w:t>
      </w:r>
      <w:r w:rsidRPr="00196879">
        <w:rPr>
          <w:b/>
          <w:bCs/>
        </w:rPr>
        <w:t>memória</w:t>
      </w:r>
    </w:p>
    <w:p w14:paraId="55560C11" w14:textId="7E72F134" w:rsidR="0083414B" w:rsidRDefault="0083414B" w:rsidP="0083414B">
      <w:pPr>
        <w:rPr>
          <w:b/>
          <w:bCs/>
        </w:rPr>
      </w:pPr>
      <w:r>
        <w:rPr>
          <w:b/>
          <w:bCs/>
        </w:rPr>
        <w:t>Introdução:</w:t>
      </w:r>
    </w:p>
    <w:p w14:paraId="6119C636" w14:textId="05413784" w:rsidR="0083414B" w:rsidRDefault="0083414B" w:rsidP="0083414B">
      <w:r w:rsidRPr="00927999">
        <w:t xml:space="preserve">PSR </w:t>
      </w:r>
      <w:r>
        <w:t>informou que o modelo HERA já está disponível na página da ANEEL para ser utilizado pelos interessados no desenvolvimento de inventários hidrelétricos.</w:t>
      </w:r>
    </w:p>
    <w:p w14:paraId="31FB7E73" w14:textId="25BF38FB" w:rsidR="0083414B" w:rsidRPr="0083414B" w:rsidRDefault="0083414B" w:rsidP="0083414B">
      <w:pPr>
        <w:rPr>
          <w:b/>
          <w:bCs/>
        </w:rPr>
      </w:pPr>
      <w:r w:rsidRPr="0083414B">
        <w:rPr>
          <w:b/>
          <w:bCs/>
        </w:rPr>
        <w:t>Temas da reunião passada:</w:t>
      </w:r>
    </w:p>
    <w:p w14:paraId="33F9C7C1" w14:textId="2522C047" w:rsidR="0083414B" w:rsidRDefault="0083414B" w:rsidP="0083414B">
      <w:r>
        <w:t>COBA complementou a ajuda-memória da reunião anterior, conforme texto já modificado acima.</w:t>
      </w:r>
    </w:p>
    <w:p w14:paraId="4647161C" w14:textId="77777777" w:rsidR="0083414B" w:rsidRDefault="0083414B" w:rsidP="0083414B">
      <w:r>
        <w:t>PSR esclareceu que Outros Custos incluem indiretos, eventuais, além de tudo o que não é considerado pelas formulações propostas.</w:t>
      </w:r>
    </w:p>
    <w:p w14:paraId="4137220F" w14:textId="5B487BE8" w:rsidR="0083414B" w:rsidRDefault="0083414B" w:rsidP="0083414B">
      <w:r>
        <w:t xml:space="preserve">COBA apresentou </w:t>
      </w:r>
      <w:r w:rsidR="00E7395F">
        <w:t>as formulações utilizadas em seus estudos, e ficou de compartilhar o arquivo após a reunião.</w:t>
      </w:r>
      <w:r w:rsidR="003F41A6">
        <w:t xml:space="preserve"> Destacou a necessidade de definição </w:t>
      </w:r>
      <w:r w:rsidR="0071350A">
        <w:t>a priori da utilização de conjuntos com velocidade variável de acordo com os requisitos do sistema.</w:t>
      </w:r>
    </w:p>
    <w:p w14:paraId="1C802A1A" w14:textId="34815CF0" w:rsidR="00E7395F" w:rsidRDefault="00E7395F" w:rsidP="00E7395F">
      <w:pPr>
        <w:rPr>
          <w:b/>
          <w:bCs/>
        </w:rPr>
      </w:pPr>
      <w:r w:rsidRPr="00815B47">
        <w:rPr>
          <w:b/>
          <w:bCs/>
        </w:rPr>
        <w:t xml:space="preserve">Volumes e custos para conjuntos </w:t>
      </w:r>
      <w:r>
        <w:rPr>
          <w:b/>
          <w:bCs/>
        </w:rPr>
        <w:t>separados:</w:t>
      </w:r>
    </w:p>
    <w:p w14:paraId="7A51503D" w14:textId="334C5B7A" w:rsidR="00E7395F" w:rsidRDefault="00E7395F" w:rsidP="0083414B">
      <w:r>
        <w:t>PSR destacou a necessidade de ampliar a faixa de quedas das soluções de engenharia, que está limitada a 600 metros na planilha de dimensionamento dos conjuntos reversíveis já utilizada no modelo.</w:t>
      </w:r>
      <w:r w:rsidR="003F41A6">
        <w:t xml:space="preserve"> O objetivo principal é definir acréscimos de volume e custos correspondentes ao espaço ocupado pelas bombas, por meio de soluções geométricas simplificadas ou percentuais. </w:t>
      </w:r>
    </w:p>
    <w:p w14:paraId="2865236A" w14:textId="06C665A0" w:rsidR="003F41A6" w:rsidRDefault="003F41A6" w:rsidP="0083414B">
      <w:r>
        <w:t>COBA sugeriu dobrar os valores dos volumes</w:t>
      </w:r>
      <w:r w:rsidR="0071350A">
        <w:t xml:space="preserve"> de obras civis</w:t>
      </w:r>
      <w:r>
        <w:t xml:space="preserve"> obtidos para a casa de força convencional (sem as bombas). </w:t>
      </w:r>
    </w:p>
    <w:p w14:paraId="043565A6" w14:textId="0253FD7A" w:rsidR="0071350A" w:rsidRPr="0071350A" w:rsidRDefault="0071350A" w:rsidP="0083414B">
      <w:pPr>
        <w:rPr>
          <w:b/>
          <w:bCs/>
        </w:rPr>
      </w:pPr>
      <w:r w:rsidRPr="0071350A">
        <w:rPr>
          <w:b/>
          <w:bCs/>
        </w:rPr>
        <w:t>Reuniões presenciais em Lisboa:</w:t>
      </w:r>
    </w:p>
    <w:p w14:paraId="6B2FE458" w14:textId="55C0F4DD" w:rsidR="0071350A" w:rsidRDefault="0071350A" w:rsidP="0083414B">
      <w:r>
        <w:t>COBA confirmou disponibilidade para a semana de 12 de setembro.</w:t>
      </w:r>
    </w:p>
    <w:p w14:paraId="6024155B" w14:textId="19CE27D8" w:rsidR="0071350A" w:rsidRDefault="0071350A" w:rsidP="0083414B">
      <w:r>
        <w:t xml:space="preserve">PSR fez sugestões preliminares para o formato das reuniões, de preferência, sempre pela manhã. COBA ficou de confirmar os dias em que as reuniões vão acontecer, e ficou de providenciar espaço para PSR </w:t>
      </w:r>
      <w:r>
        <w:lastRenderedPageBreak/>
        <w:t>trabalhar</w:t>
      </w:r>
      <w:r w:rsidR="00802EA9">
        <w:t>, à tarde,</w:t>
      </w:r>
      <w:r>
        <w:t xml:space="preserve"> no restante dos dias de reunião.</w:t>
      </w:r>
      <w:r w:rsidR="00802EA9">
        <w:t xml:space="preserve"> Há intenção de incluir, se possível, a GE em reunião na mesma semana, quando o tema versar sobre equipamentos e casa de força. </w:t>
      </w:r>
    </w:p>
    <w:p w14:paraId="3748E644" w14:textId="3D725920" w:rsidR="00802EA9" w:rsidRDefault="00802EA9" w:rsidP="0083414B">
      <w:r>
        <w:t xml:space="preserve">Os detalhes serão acertados </w:t>
      </w:r>
      <w:r w:rsidR="00124E03">
        <w:t>ao longo d</w:t>
      </w:r>
      <w:r>
        <w:t xml:space="preserve">as próximas semanas. </w:t>
      </w:r>
    </w:p>
    <w:p w14:paraId="2145F01C" w14:textId="77777777" w:rsidR="00E4238C" w:rsidRDefault="00E4238C" w:rsidP="00E4238C">
      <w:pPr>
        <w:rPr>
          <w:b/>
          <w:bCs/>
        </w:rPr>
      </w:pPr>
      <w:r w:rsidRPr="00641F42">
        <w:rPr>
          <w:b/>
          <w:bCs/>
        </w:rPr>
        <w:t>Próximos passos</w:t>
      </w:r>
      <w:r>
        <w:rPr>
          <w:b/>
          <w:bCs/>
        </w:rPr>
        <w:t>:</w:t>
      </w:r>
    </w:p>
    <w:p w14:paraId="2AF10C20" w14:textId="79E71876" w:rsidR="00D85C3A" w:rsidRDefault="00D85C3A" w:rsidP="0083414B">
      <w:r w:rsidRPr="00F120DB">
        <w:t xml:space="preserve">Após </w:t>
      </w:r>
      <w:r w:rsidR="00E4238C" w:rsidRPr="00F120DB">
        <w:t>a conclusão d</w:t>
      </w:r>
      <w:r w:rsidRPr="00F120DB">
        <w:t>es</w:t>
      </w:r>
      <w:r w:rsidR="00E4238C" w:rsidRPr="00F120DB">
        <w:t>t</w:t>
      </w:r>
      <w:r w:rsidRPr="00F120DB">
        <w:t xml:space="preserve">a etapa de </w:t>
      </w:r>
      <w:r w:rsidR="00E4238C" w:rsidRPr="00F120DB">
        <w:t>consultoria,</w:t>
      </w:r>
      <w:r w:rsidRPr="00F120DB">
        <w:t xml:space="preserve"> serão discutid</w:t>
      </w:r>
      <w:r w:rsidR="00E4238C" w:rsidRPr="00F120DB">
        <w:t>o</w:t>
      </w:r>
      <w:r w:rsidRPr="00F120DB">
        <w:t xml:space="preserve">s os </w:t>
      </w:r>
      <w:r w:rsidR="00E4238C" w:rsidRPr="00F120DB">
        <w:t>resultados</w:t>
      </w:r>
      <w:r w:rsidRPr="00F120DB">
        <w:t xml:space="preserve"> dos estudos de caso do P&amp;D </w:t>
      </w:r>
      <w:r w:rsidR="00E4238C" w:rsidRPr="00F120DB">
        <w:t>visando a</w:t>
      </w:r>
      <w:r w:rsidRPr="00F120DB">
        <w:t>o desdobramento numa avaliação mais detalhada</w:t>
      </w:r>
      <w:r w:rsidR="00E4238C" w:rsidRPr="00F120DB">
        <w:t xml:space="preserve">, equivalente a </w:t>
      </w:r>
      <w:r w:rsidRPr="00F120DB">
        <w:t>um estudo de viabilidade</w:t>
      </w:r>
      <w:r w:rsidR="00843093" w:rsidRPr="00F120DB">
        <w:t xml:space="preserve"> em local a ser selecionado</w:t>
      </w:r>
      <w:r w:rsidR="00E4238C" w:rsidRPr="00F120DB">
        <w:t>,</w:t>
      </w:r>
      <w:r w:rsidRPr="00F120DB">
        <w:t xml:space="preserve"> com </w:t>
      </w:r>
      <w:r w:rsidR="00E4238C" w:rsidRPr="00F120DB">
        <w:t xml:space="preserve">a </w:t>
      </w:r>
      <w:r w:rsidRPr="00F120DB">
        <w:t>participação da CTG</w:t>
      </w:r>
      <w:r w:rsidR="00E4238C" w:rsidRPr="00F120DB">
        <w:t xml:space="preserve"> </w:t>
      </w:r>
      <w:r w:rsidR="00843093" w:rsidRPr="00F120DB">
        <w:t>e do Banco</w:t>
      </w:r>
      <w:r w:rsidR="00E4238C" w:rsidRPr="00F120DB">
        <w:t xml:space="preserve"> Mundial</w:t>
      </w:r>
      <w:r w:rsidRPr="00F120DB">
        <w:t>.</w:t>
      </w:r>
    </w:p>
    <w:sectPr w:rsidR="00D85C3A" w:rsidSect="000F13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1FAF" w14:textId="77777777" w:rsidR="001A2E80" w:rsidRDefault="001A2E80" w:rsidP="0019749B">
      <w:pPr>
        <w:spacing w:after="0" w:line="240" w:lineRule="auto"/>
      </w:pPr>
      <w:r>
        <w:separator/>
      </w:r>
    </w:p>
  </w:endnote>
  <w:endnote w:type="continuationSeparator" w:id="0">
    <w:p w14:paraId="644AD22E" w14:textId="77777777" w:rsidR="001A2E80" w:rsidRDefault="001A2E80" w:rsidP="0019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26038"/>
      <w:docPartObj>
        <w:docPartGallery w:val="Page Numbers (Bottom of Page)"/>
        <w:docPartUnique/>
      </w:docPartObj>
    </w:sdtPr>
    <w:sdtContent>
      <w:p w14:paraId="3EE89535" w14:textId="14EE3BC3" w:rsidR="0019749B" w:rsidRDefault="001974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9F0866" w14:textId="77777777" w:rsidR="0019749B" w:rsidRDefault="001974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B46F9" w14:textId="77777777" w:rsidR="001A2E80" w:rsidRDefault="001A2E80" w:rsidP="0019749B">
      <w:pPr>
        <w:spacing w:after="0" w:line="240" w:lineRule="auto"/>
      </w:pPr>
      <w:r>
        <w:separator/>
      </w:r>
    </w:p>
  </w:footnote>
  <w:footnote w:type="continuationSeparator" w:id="0">
    <w:p w14:paraId="6F7B79A3" w14:textId="77777777" w:rsidR="001A2E80" w:rsidRDefault="001A2E80" w:rsidP="00197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7A1C"/>
    <w:multiLevelType w:val="hybridMultilevel"/>
    <w:tmpl w:val="9AAAEE06"/>
    <w:lvl w:ilvl="0" w:tplc="189C9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63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57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A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4F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A1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AA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23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A6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BE63C9"/>
    <w:multiLevelType w:val="hybridMultilevel"/>
    <w:tmpl w:val="BAC80A7C"/>
    <w:lvl w:ilvl="0" w:tplc="850A5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8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E3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A0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46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048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4C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4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FE5FE8"/>
    <w:multiLevelType w:val="hybridMultilevel"/>
    <w:tmpl w:val="05EA46A6"/>
    <w:lvl w:ilvl="0" w:tplc="AED4801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8D9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88BE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CD8C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9D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6512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6769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6910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45CC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122EBE"/>
    <w:multiLevelType w:val="hybridMultilevel"/>
    <w:tmpl w:val="C8A4BEAC"/>
    <w:lvl w:ilvl="0" w:tplc="6F64B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EB6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2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CF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C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A5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9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C6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4D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186B73"/>
    <w:multiLevelType w:val="hybridMultilevel"/>
    <w:tmpl w:val="EDD8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233532">
    <w:abstractNumId w:val="3"/>
  </w:num>
  <w:num w:numId="2" w16cid:durableId="1889104396">
    <w:abstractNumId w:val="4"/>
  </w:num>
  <w:num w:numId="3" w16cid:durableId="1394234062">
    <w:abstractNumId w:val="0"/>
  </w:num>
  <w:num w:numId="4" w16cid:durableId="1170369769">
    <w:abstractNumId w:val="1"/>
  </w:num>
  <w:num w:numId="5" w16cid:durableId="116034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E6"/>
    <w:rsid w:val="00072A78"/>
    <w:rsid w:val="000955E1"/>
    <w:rsid w:val="000F1395"/>
    <w:rsid w:val="00105658"/>
    <w:rsid w:val="00124E03"/>
    <w:rsid w:val="00163D02"/>
    <w:rsid w:val="00196879"/>
    <w:rsid w:val="0019749B"/>
    <w:rsid w:val="001A2E80"/>
    <w:rsid w:val="001C01E9"/>
    <w:rsid w:val="002B2EEF"/>
    <w:rsid w:val="002D0072"/>
    <w:rsid w:val="00380865"/>
    <w:rsid w:val="003A0ED4"/>
    <w:rsid w:val="003A29B6"/>
    <w:rsid w:val="003B33B1"/>
    <w:rsid w:val="003F41A6"/>
    <w:rsid w:val="00462A18"/>
    <w:rsid w:val="00487605"/>
    <w:rsid w:val="004E4421"/>
    <w:rsid w:val="005C6BAD"/>
    <w:rsid w:val="00634157"/>
    <w:rsid w:val="00641F42"/>
    <w:rsid w:val="006B55C7"/>
    <w:rsid w:val="006E1C08"/>
    <w:rsid w:val="006E7430"/>
    <w:rsid w:val="0071350A"/>
    <w:rsid w:val="007A6E0A"/>
    <w:rsid w:val="00802EA9"/>
    <w:rsid w:val="00815B47"/>
    <w:rsid w:val="0083414B"/>
    <w:rsid w:val="00843093"/>
    <w:rsid w:val="00870377"/>
    <w:rsid w:val="009039E6"/>
    <w:rsid w:val="00925C29"/>
    <w:rsid w:val="00927999"/>
    <w:rsid w:val="00983F07"/>
    <w:rsid w:val="00986873"/>
    <w:rsid w:val="009B553E"/>
    <w:rsid w:val="009B74C9"/>
    <w:rsid w:val="00AD6BD9"/>
    <w:rsid w:val="00B01DFD"/>
    <w:rsid w:val="00B96FBE"/>
    <w:rsid w:val="00BB2593"/>
    <w:rsid w:val="00BC2663"/>
    <w:rsid w:val="00C3351D"/>
    <w:rsid w:val="00CF7FB8"/>
    <w:rsid w:val="00D15815"/>
    <w:rsid w:val="00D215FF"/>
    <w:rsid w:val="00D23EDB"/>
    <w:rsid w:val="00D72F96"/>
    <w:rsid w:val="00D85C3A"/>
    <w:rsid w:val="00E07B31"/>
    <w:rsid w:val="00E41385"/>
    <w:rsid w:val="00E4238C"/>
    <w:rsid w:val="00E538A8"/>
    <w:rsid w:val="00E7395F"/>
    <w:rsid w:val="00F120DB"/>
    <w:rsid w:val="00F9304A"/>
    <w:rsid w:val="00FA4126"/>
    <w:rsid w:val="00FA6161"/>
    <w:rsid w:val="00F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5D4C"/>
  <w15:chartTrackingRefBased/>
  <w15:docId w15:val="{C1631533-01C8-4881-A40C-7D48E9BA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29B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97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9B"/>
  </w:style>
  <w:style w:type="paragraph" w:styleId="Rodap">
    <w:name w:val="footer"/>
    <w:basedOn w:val="Normal"/>
    <w:link w:val="RodapChar"/>
    <w:uiPriority w:val="99"/>
    <w:unhideWhenUsed/>
    <w:rsid w:val="00197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53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629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9108">
          <w:marLeft w:val="118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0176">
          <w:marLeft w:val="1181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Albuquerque</dc:creator>
  <cp:keywords/>
  <dc:description/>
  <cp:lastModifiedBy>Rodolpho Albuquerque</cp:lastModifiedBy>
  <cp:revision>3</cp:revision>
  <dcterms:created xsi:type="dcterms:W3CDTF">2022-08-31T02:05:00Z</dcterms:created>
  <dcterms:modified xsi:type="dcterms:W3CDTF">2022-08-31T18:55:00Z</dcterms:modified>
</cp:coreProperties>
</file>