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4849" w:rsidRDefault="008D4B83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23</w:t>
      </w:r>
    </w:p>
    <w:p w:rsidR="00AE4849" w:rsidRDefault="00AE4849">
      <w:pPr>
        <w:contextualSpacing w:val="0"/>
      </w:pPr>
    </w:p>
    <w:p w:rsidR="00AE4849" w:rsidRDefault="00AE4849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proofErr w:type="spellStart"/>
            <w:r>
              <w:rPr>
                <w:rFonts w:ascii="Comic Sans MS" w:eastAsia="Comic Sans MS" w:hAnsi="Comic Sans MS" w:cs="Comic Sans MS"/>
                <w:sz w:val="22"/>
              </w:rPr>
              <w:t>displaypage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</w:rPr>
              <w:t xml:space="preserve"> - speaker-p</w:t>
            </w:r>
          </w:p>
        </w:tc>
      </w:tr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Paul Still</w:t>
            </w:r>
          </w:p>
        </w:tc>
      </w:tr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 xml:space="preserve">White Box </w:t>
            </w:r>
          </w:p>
        </w:tc>
      </w:tr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AE484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4849" w:rsidRDefault="008D4B83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17/3/2014</w:t>
            </w:r>
          </w:p>
        </w:tc>
      </w:tr>
    </w:tbl>
    <w:p w:rsidR="00AE4849" w:rsidRDefault="00AE4849">
      <w:pPr>
        <w:contextualSpacing w:val="0"/>
      </w:pPr>
    </w:p>
    <w:p w:rsidR="00AE4849" w:rsidRDefault="008D4B83">
      <w:pPr>
        <w:contextualSpacing w:val="0"/>
      </w:pPr>
      <w:r>
        <w:t>Preparing for the Test</w:t>
      </w:r>
    </w:p>
    <w:p w:rsidR="00AE4849" w:rsidRDefault="00AE4849">
      <w:pPr>
        <w:contextualSpacing w:val="0"/>
      </w:pPr>
      <w:bookmarkStart w:id="0" w:name="_GoBack"/>
      <w:bookmarkEnd w:id="0"/>
    </w:p>
    <w:p w:rsidR="00AE4849" w:rsidRDefault="008D4B83">
      <w:pPr>
        <w:numPr>
          <w:ilvl w:val="0"/>
          <w:numId w:val="1"/>
        </w:numPr>
        <w:ind w:hanging="359"/>
      </w:pPr>
      <w:r>
        <w:t>Use Test Build.</w:t>
      </w:r>
    </w:p>
    <w:p w:rsidR="00AE4849" w:rsidRDefault="00AE4849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4849" w:rsidRDefault="008D4B83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color w:val="365F91"/>
              </w:rPr>
              <w:t>✓</w:t>
            </w:r>
            <w:r>
              <w:rPr>
                <w:b/>
              </w:rPr>
              <w:t>)</w:t>
            </w: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Indentation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AE4849" w:rsidTr="001E4521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4849" w:rsidRDefault="008D4B83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</w:tbl>
    <w:p w:rsidR="00AE4849" w:rsidRDefault="00AE4849">
      <w:pPr>
        <w:tabs>
          <w:tab w:val="center" w:pos="4320"/>
          <w:tab w:val="right" w:pos="8640"/>
        </w:tabs>
        <w:contextualSpacing w:val="0"/>
      </w:pPr>
    </w:p>
    <w:p w:rsidR="00AE4849" w:rsidRDefault="008D4B83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Signature: </w:t>
      </w:r>
      <w:r>
        <w:rPr>
          <w:rFonts w:ascii="Quintessential" w:eastAsia="Quintessential" w:hAnsi="Quintessential" w:cs="Quintessential"/>
        </w:rPr>
        <w:t>Paul Still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Date: 17/3/2014 </w:t>
      </w:r>
      <w:r>
        <w:rPr>
          <w:rFonts w:ascii="Arial" w:eastAsia="Arial" w:hAnsi="Arial" w:cs="Arial"/>
        </w:rPr>
        <w:tab/>
      </w:r>
    </w:p>
    <w:p w:rsidR="00AE4849" w:rsidRDefault="008D4B83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  </w:t>
      </w:r>
    </w:p>
    <w:p w:rsidR="00AE4849" w:rsidRDefault="00AE4849"/>
    <w:sectPr w:rsidR="00AE484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99" w:rsidRDefault="00702799">
      <w:r>
        <w:separator/>
      </w:r>
    </w:p>
  </w:endnote>
  <w:endnote w:type="continuationSeparator" w:id="0">
    <w:p w:rsidR="00702799" w:rsidRDefault="0070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intessent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49" w:rsidRDefault="008D4B83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AE4849" w:rsidRDefault="00AE4849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99" w:rsidRDefault="00702799">
      <w:r>
        <w:separator/>
      </w:r>
    </w:p>
  </w:footnote>
  <w:footnote w:type="continuationSeparator" w:id="0">
    <w:p w:rsidR="00702799" w:rsidRDefault="00702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849" w:rsidRDefault="008D4B83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AE4849" w:rsidRDefault="00AE4849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2A08"/>
    <w:multiLevelType w:val="multilevel"/>
    <w:tmpl w:val="5DB8DC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E4849"/>
    <w:rsid w:val="001E4521"/>
    <w:rsid w:val="00702799"/>
    <w:rsid w:val="008400F6"/>
    <w:rsid w:val="008D4B83"/>
    <w:rsid w:val="00A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>Holmesglen Institute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- 23.docx</dc:title>
  <cp:lastModifiedBy>Windows User</cp:lastModifiedBy>
  <cp:revision>3</cp:revision>
  <dcterms:created xsi:type="dcterms:W3CDTF">2014-03-19T22:49:00Z</dcterms:created>
  <dcterms:modified xsi:type="dcterms:W3CDTF">2014-03-19T22:50:00Z</dcterms:modified>
</cp:coreProperties>
</file>