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62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Browse Sponsor Details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Team Zelda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Regression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2014-06-10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Emulator or device with correct Android 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Clicked on Sponsor from Sponsor-List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3079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175"/>
        <w:gridCol w:w="5654"/>
        <w:gridCol w:w="705"/>
        <w:gridCol w:w="750"/>
        <w:gridCol w:w="690"/>
        <w:gridCol w:w="780"/>
        <w:gridCol w:w="720"/>
        <w:gridCol w:w="690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D18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D19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Sponsor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Sponsor logo, name, description and link displayed.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Sponsor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Correct sponsor details are displayed.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Sponsor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Incase of no logo image, broken image is not displayed.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on website link.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Link functions and takes user to correct website.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Test - 62  (41).docx</dc:title>
</cp:coreProperties>
</file>