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33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40"/>
        <w:gridCol w:w="4340"/>
      </w:tblGrid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Program Name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Feedback Page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Tested By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Dawn Collett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 Type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White Box Static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 Level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Integration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Date tested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Sublime Text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the feedback-list.html, feedback.html, main.js, helper.js, and transfer.js files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8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00"/>
        <w:gridCol w:w="6635"/>
        <w:gridCol w:w="1385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Coding Standard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Pass/Fail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indentation done with space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Each indentation level is two spaces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Each HTML child tag is on a new line at a new indentation level permitting exceptions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 trailing whitespaces exist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Braces in Javascript code follow K&amp;R style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HTML tags are in all lowercase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HTML attributes are in all lowercase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HTML attribute values are enclosed in double quotes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HTML selector ids and classes are all lowercase, starting with a letter,  with words separated by -, and no _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 soft line length of 80 characters is observed with multiline commands following code standard guidelines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variables are declared with var, are camel case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constants are full uppercase with _ separating words and denoted with the @const tag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commands end with a semicolon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String Literals use ‘ instead of “ where possible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functions and variables have JSDoc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Comments exist and explain function and structure of code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functions are located in the correct .js file as outlined in the Architect’s Notebook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Signature:</w:t>
        <w:tab/>
        <w:tab/>
        <w:tab/>
        <w:tab/>
        <w:tab/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Tahom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b w:val="1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- 33.docx</dc:title>
</cp:coreProperties>
</file>