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53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Prompt for Profile Details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Team Zelda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Regression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2014-06-10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Revert/Update Working Copy to tag: Phase1PreTestBuild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Install the platforms/android/ant-build/eConference-debug-unaligned.apk onto the test device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Open the application and navigate to the Question &amp; Answer Page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3740.0" w:type="dxa"/>
        <w:jc w:val="left"/>
        <w:tblInd w:w="-82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885"/>
        <w:gridCol w:w="2775"/>
        <w:gridCol w:w="5235"/>
        <w:gridCol w:w="765"/>
        <w:gridCol w:w="795"/>
        <w:gridCol w:w="765"/>
        <w:gridCol w:w="705"/>
        <w:gridCol w:w="870"/>
        <w:gridCol w:w="945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D15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D16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D17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D19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Attempt to submit a question without previously filling out demographic information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The mobile application prompts the user to fill out demographic information prior to submitting a question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Check Portrait Layout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There are no visually broken elements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Check Landscape Layout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There are no visually broken elements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5840" w:h="122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Test - 53  (13).docx</dc:title>
</cp:coreProperties>
</file>