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Signal Processing Design Note</w:t>
      </w:r>
    </w:p>
    <w:p>
      <w:r>
        <w:rPr>
          <w:b/>
        </w:rPr>
        <w:t>1 Introduction</w:t>
      </w:r>
    </w:p>
    <w:p>
      <w:r>
        <w:t xml:space="preserve">This note describes the </w:t>
      </w:r>
      <w:r>
        <w:rPr>
          <w:b/>
        </w:rPr>
        <w:t>critically damped</w:t>
      </w:r>
      <w:r>
        <w:t xml:space="preserve"> filter response. The method is </w:t>
      </w:r>
      <w:r>
        <w:rPr>
          <w:i/>
        </w:rPr>
        <w:t>only valid</w:t>
      </w:r>
      <w:r>
        <w:t xml:space="preserve"> below the Nyquist frequency.</w:t>
      </w:r>
      <w:r>
        <w:rPr>
          <w:vertAlign w:val="superscript"/>
        </w:rPr>
        <w:footnoteReference w:id="1"/>
      </w:r>
    </w:p>
    <w:p>
      <w:r>
        <w:rPr>
          <w:b/>
        </w:rPr>
        <w:t>1.1 Governing Equation</w:t>
      </w:r>
    </w:p>
    <w:p>
      <w:r>
        <w:t xml:space="preserve">The roots follow from </w:t>
      </w:r>
      <m:oMath>
        <m:r>
          <m:t>x=</m:t>
        </m:r>
        <m:f>
          <m:num>
            <m:r>
              <m:t>−b±</m:t>
            </m:r>
            <m:rad>
              <m:radPr>
                <m:degHide m:val="1"/>
              </m:radPr>
              <m:deg/>
              <m:e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  <m:r>
                  <m:t>−4ac</m:t>
                </m:r>
              </m:e>
            </m:rad>
          </m:num>
          <m:den>
            <m:r>
              <m:t>2a</m:t>
            </m:r>
          </m:den>
        </m:f>
      </m:oMath>
      <w:r>
        <w:t xml:space="preserve"> for the characteristic polynomial.</w:t>
      </w:r>
    </w:p>
    <w:p>
      <w:r>
        <w:rPr>
          <w:b/>
        </w:rPr>
        <w:t>1.2 Reference 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Symbol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</w:tr>
      <w:tr>
        <w:tc>
          <w:tcPr>
            <w:tcW w:type="dxa" w:w="2880"/>
          </w:tcPr>
          <w:p>
            <w:r>
              <w:t>Damping ratio</w:t>
            </w:r>
          </w:p>
        </w:tc>
        <w:tc>
          <w:tcPr>
            <w:tcW w:type="dxa" w:w="2880"/>
          </w:tcPr>
          <w:p>
            <w:r>
              <w:t>zeta</w:t>
            </w:r>
          </w:p>
        </w:tc>
        <w:tc>
          <w:tcPr>
            <w:tcW w:type="dxa" w:w="2880"/>
          </w:tcPr>
          <w:p>
            <w:r>
              <w:t>0.707</w:t>
            </w:r>
          </w:p>
        </w:tc>
      </w:tr>
      <w:tr>
        <w:tc>
          <w:tcPr>
            <w:tcW w:type="dxa" w:w="2880"/>
          </w:tcPr>
          <w:p>
            <w:r>
              <w:t>Natural frequency</w:t>
            </w:r>
          </w:p>
        </w:tc>
        <w:tc>
          <w:tcPr>
            <w:tcW w:type="dxa" w:w="2880"/>
          </w:tcPr>
          <w:p>
            <w:r>
              <w:t>omega_n</w:t>
            </w:r>
          </w:p>
        </w:tc>
        <w:tc>
          <w:tcPr>
            <w:tcW w:type="dxa" w:w="2880"/>
          </w:tcPr>
          <w:p>
            <w:r>
              <w:t>12.5 rad/s</w:t>
            </w:r>
          </w:p>
        </w:tc>
      </w:tr>
    </w:tbl>
    <w:p>
      <w:r>
        <w:rPr>
          <w:sz w:val="18"/>
        </w:rPr>
        <w:t>Table 1: Filter design parameters</w:t>
      </w:r>
    </w:p>
    <w:p>
      <w:r>
        <w:rPr>
          <w:b/>
        </w:rPr>
        <w:t>2 Hardware Layout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me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Figure 1: Board orientation marker</w:t>
      </w:r>
    </w:p>
    <w:p>
      <w:r>
        <w:t xml:space="preserve">Align the marker </w:t>
      </w:r>
      <w:r>
        <w:drawing>
          <wp:inline xmlns:a="http://schemas.openxmlformats.org/drawingml/2006/main" xmlns:pic="http://schemas.openxmlformats.org/drawingml/2006/picture">
            <wp:extent cx="139700" cy="139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me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with the silkscreen arrow before fastening.</w:t>
      </w:r>
    </w:p>
    <w:p>
      <w:r>
        <w:t xml:space="preserve">The coolant is </w:t>
      </w:r>
      <w:r>
        <w:t>H</w:t>
      </w:r>
      <w:r>
        <w:rPr>
          <w:vertAlign w:val="subscript"/>
        </w:rPr>
        <w:t>2</w:t>
      </w:r>
      <w:r>
        <w:t xml:space="preserve">O; dissipation scales with </w:t>
      </w:r>
      <w:r>
        <w:t>v</w:t>
      </w:r>
      <w:r>
        <w:rPr>
          <w:vertAlign w:val="superscript"/>
        </w:rPr>
        <w:t>2</w:t>
      </w:r>
      <w:r>
        <w:t xml:space="preserve">. The </w:t>
      </w:r>
      <w:r>
        <w:rPr>
          <w:u w:val="single"/>
        </w:rPr>
        <w:t>thermal budget</w:t>
      </w:r>
      <w:r>
        <w:t xml:space="preserve"> is fixed; the </w:t>
      </w:r>
      <w:r>
        <w:rPr>
          <w:strike/>
        </w:rPr>
        <w:t>old 5 W limit</w:t>
      </w:r>
      <w:r>
        <w:t xml:space="preserve"> no longer applies. </w:t>
      </w:r>
      <w:r>
        <w:rPr>
          <w:highlight w:val="yellow"/>
        </w:rPr>
        <w:t>Confirm the tolerance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</w:rPr>
        <w:footnoteRef/>
      </w:r>
      <w:r>
        <w:t xml:space="preserve"> Sampling above 2x the highest component frequency.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Fn1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