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C06C96"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C06C96"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w:t>
      </w:r>
      <w:bookmarkStart w:id="1" w:name="_GoBack"/>
      <w:bookmarkEnd w:id="1"/>
      <w:r>
        <w:t xml:space="preserve">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77777777" w:rsidR="00A42BC5" w:rsidRDefault="00A42BC5" w:rsidP="00A42BC5">
      <w:pPr>
        <w:pStyle w:val="AckPara"/>
        <w:spacing w:before="240"/>
      </w:pPr>
      <w:r>
        <w:rPr>
          <w:szCs w:val="18"/>
        </w:rPr>
        <w:t>Result for each iteration is shown in: Figure 7a and Appendix Table 10a.</w:t>
      </w:r>
    </w:p>
    <w:p w14:paraId="68D70BF7" w14:textId="77777777" w:rsidR="00A42BC5" w:rsidRDefault="00A42BC5" w:rsidP="00A42BC5">
      <w:pPr>
        <w:pStyle w:val="AckPara"/>
      </w:pPr>
    </w:p>
    <w:p w14:paraId="402968B9" w14:textId="537B0473"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ccuracy stood at about 0.57 for sklearn and Weka while TensorFlow performed relatively poorly at 0.43. Accuracy is better when higher.</w:t>
      </w:r>
    </w:p>
    <w:p w14:paraId="641C72E4" w14:textId="53DC17D4" w:rsidR="006522CA" w:rsidRPr="008B7D03" w:rsidRDefault="008B7D03" w:rsidP="008B7D03">
      <w:pPr>
        <w:pStyle w:val="AckPara"/>
      </w:pPr>
      <w:r>
        <w:t>Finally, for kNN, we again chose RMSE to represent performance and from Fig. 1c, it</w:t>
      </w:r>
      <w:r w:rsidR="00E91725">
        <w:t>’</w:t>
      </w:r>
      <w:r>
        <w:t>s apparent that there isn’t much difference as RMSE was about 1.8 for sklearn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lastRenderedPageBreak/>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E4C88" w14:textId="77777777" w:rsidR="00C06C96" w:rsidRDefault="00C06C96">
      <w:r>
        <w:separator/>
      </w:r>
    </w:p>
  </w:endnote>
  <w:endnote w:type="continuationSeparator" w:id="0">
    <w:p w14:paraId="2100024A" w14:textId="77777777" w:rsidR="00C06C96" w:rsidRDefault="00C06C96">
      <w:r>
        <w:continuationSeparator/>
      </w:r>
    </w:p>
  </w:endnote>
  <w:endnote w:type="continuationNotice" w:id="1">
    <w:p w14:paraId="66166DFC" w14:textId="77777777" w:rsidR="00C06C96" w:rsidRDefault="00C06C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D08FC" w14:textId="77777777" w:rsidR="00C06C96" w:rsidRDefault="00C06C96">
      <w:r>
        <w:separator/>
      </w:r>
    </w:p>
  </w:footnote>
  <w:footnote w:type="continuationSeparator" w:id="0">
    <w:p w14:paraId="0426D693" w14:textId="77777777" w:rsidR="00C06C96" w:rsidRDefault="00C06C96">
      <w:r>
        <w:continuationSeparator/>
      </w:r>
    </w:p>
  </w:footnote>
  <w:footnote w:type="continuationNotice" w:id="1">
    <w:p w14:paraId="35D02DD4" w14:textId="77777777" w:rsidR="00C06C96" w:rsidRDefault="00C06C9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91740"/>
    <w:rsid w:val="00B93369"/>
    <w:rsid w:val="00B96493"/>
    <w:rsid w:val="00BA00DF"/>
    <w:rsid w:val="00BA3C3D"/>
    <w:rsid w:val="00BA5432"/>
    <w:rsid w:val="00BA7DD8"/>
    <w:rsid w:val="00BB333E"/>
    <w:rsid w:val="00BB3E51"/>
    <w:rsid w:val="00BB5CF3"/>
    <w:rsid w:val="00BB6813"/>
    <w:rsid w:val="00BC5BDA"/>
    <w:rsid w:val="00BD0806"/>
    <w:rsid w:val="00BD1F21"/>
    <w:rsid w:val="00BD304D"/>
    <w:rsid w:val="00BD61E5"/>
    <w:rsid w:val="00BD793B"/>
    <w:rsid w:val="00BF3D6B"/>
    <w:rsid w:val="00BF4C53"/>
    <w:rsid w:val="00BF5917"/>
    <w:rsid w:val="00C03DCA"/>
    <w:rsid w:val="00C06212"/>
    <w:rsid w:val="00C06C96"/>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946F4F6-FAB2-461F-B4B0-29B8AB81C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676</TotalTime>
  <Pages>5</Pages>
  <Words>1863</Words>
  <Characters>10624</Characters>
  <Application>Microsoft Office Word</Application>
  <DocSecurity>0</DocSecurity>
  <Lines>88</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12463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100</cp:revision>
  <cp:lastPrinted>2018-11-24T06:47:00Z</cp:lastPrinted>
  <dcterms:created xsi:type="dcterms:W3CDTF">2018-05-22T09:05:00Z</dcterms:created>
  <dcterms:modified xsi:type="dcterms:W3CDTF">2018-12-17T10:05:00Z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