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80"/>
        <w:jc w:val="center"/>
        <w:pBdr>
          <w:bottom w:val="single" w:sz="6" w:space="1" w:color="4C1D95"/>
        </w:pBdr>
      </w:pPr>
    </w:p>
    <w:p>
      <w:pPr>
        <w:spacing w:after="80"/>
        <w:jc w:val="center"/>
      </w:pPr>
      <w:r>
        <w:rPr>
          <w:rFonts w:ascii="Georgia" w:hAnsi="Georgia"/>
          <w:b/>
          <w:color w:val="BE185D"/>
          <w:sz w:val="20"/>
        </w:rPr>
        <w:t>M O N E Y R U L E S   S E R I E S</w:t>
      </w:r>
    </w:p>
    <w:p>
      <w:pPr>
        <w:spacing w:after="160"/>
        <w:jc w:val="center"/>
      </w:pPr>
      <w:r>
        <w:rPr>
          <w:rFonts w:ascii="Georgia" w:hAnsi="Georgia"/>
          <w:b/>
          <w:color w:val="4C1D95"/>
          <w:sz w:val="72"/>
        </w:rPr>
        <w:t>[Your Title Here]</w:t>
      </w:r>
    </w:p>
    <w:p>
      <w:pPr>
        <w:spacing w:after="120"/>
        <w:jc w:val="center"/>
      </w:pPr>
      <w:r>
        <w:rPr>
          <w:rFonts w:ascii="Georgia" w:hAnsi="Georgia"/>
          <w:i/>
          <w:color w:val="DB2777"/>
          <w:sz w:val="30"/>
        </w:rPr>
        <w:t>[Your Subtitle Here]</w:t>
      </w:r>
    </w:p>
    <w:p/>
    <w:p>
      <w:pPr>
        <w:spacing w:after="80"/>
        <w:jc w:val="center"/>
      </w:pPr>
      <w:r>
        <w:rPr>
          <w:rFonts w:ascii="Georgia" w:hAnsi="Georgia"/>
          <w:i/>
          <w:color w:val="64748B"/>
          <w:sz w:val="20"/>
        </w:rPr>
        <w:t>[Your tagline or description]</w:t>
      </w:r>
    </w:p>
    <w:p>
      <w:pPr>
        <w:jc w:val="center"/>
        <w:pBdr>
          <w:top w:val="single" w:sz="6" w:space="1" w:color="4C1D95"/>
        </w:pBdr>
      </w:pPr>
    </w:p>
    <w:p/>
    <w:p/>
    <w:p/>
    <w:p/>
    <w:p>
      <w:pPr>
        <w:spacing w:after="40"/>
        <w:jc w:val="center"/>
      </w:pPr>
      <w:r>
        <w:rPr>
          <w:rFonts w:ascii="Georgia" w:hAnsi="Georgia"/>
          <w:i/>
          <w:color w:val="64748B"/>
          <w:sz w:val="18"/>
        </w:rPr>
        <w:t>Brought to you by</w:t>
      </w:r>
    </w:p>
    <w:p>
      <w:pPr>
        <w:spacing w:after="40"/>
        <w:jc w:val="center"/>
      </w:pPr>
      <w:r>
        <w:rPr>
          <w:rFonts w:ascii="Georgia" w:hAnsi="Georgia"/>
          <w:b/>
          <w:color w:val="4C1D95"/>
          <w:sz w:val="28"/>
        </w:rPr>
        <w:t>Income Online</w:t>
      </w:r>
    </w:p>
    <w:p>
      <w:pPr>
        <w:jc w:val="center"/>
      </w:pPr>
      <w:r>
        <w:rPr>
          <w:rFonts w:ascii="Georgia" w:hAnsi="Georgia"/>
          <w:color w:val="BE185D"/>
          <w:sz w:val="18"/>
        </w:rPr>
        <w:t>www.incomeonline.info</w:t>
      </w:r>
    </w:p>
    <w:p>
      <w:r>
        <w:br w:type="page"/>
      </w:r>
    </w:p>
    <w:p>
      <w:pPr>
        <w:pStyle w:val="Heading1"/>
      </w:pPr>
      <w:r>
        <w:t>Chapter 1 — Heading Example</w:t>
      </w:r>
    </w:p>
    <w:p>
      <w:pPr>
        <w:spacing w:after="140" w:line="336" w:lineRule="auto"/>
      </w:pPr>
      <w:r>
        <w:rPr>
          <w:rFonts w:ascii="Georgia" w:hAnsi="Georgia"/>
          <w:b w:val="0"/>
          <w:i w:val="0"/>
          <w:color w:val="33333D"/>
          <w:sz w:val="21"/>
        </w:rPr>
        <w:t>This is the MoneyRules branded template. It features professional double-line page borders with a shadow effect, Georgia serif typography for a published feel, automatic page numbers, and Income Online branding on every page.</w:t>
      </w:r>
    </w:p>
    <w:p>
      <w:pPr>
        <w:spacing w:after="140" w:line="336" w:lineRule="auto"/>
      </w:pPr>
      <w:r>
        <w:rPr>
          <w:rFonts w:ascii="Georgia" w:hAnsi="Georgia"/>
          <w:b w:val="0"/>
          <w:i w:val="0"/>
          <w:color w:val="33333D"/>
          <w:sz w:val="21"/>
        </w:rPr>
        <w:t>Replace this text with your own content. Use the heading styles and body text formatting shown here to maintain a consistent, professional look across all MoneyRules guides.</w:t>
      </w:r>
    </w:p>
    <w:p>
      <w:pPr>
        <w:pStyle w:val="Heading2"/>
      </w:pPr>
      <w:r>
        <w:t>Sub-heading Example</w:t>
      </w:r>
    </w:p>
    <w:p>
      <w:pPr>
        <w:spacing w:after="140" w:line="336" w:lineRule="auto"/>
      </w:pPr>
      <w:r>
        <w:rPr>
          <w:rFonts w:ascii="Georgia" w:hAnsi="Georgia"/>
          <w:b w:val="0"/>
          <w:i w:val="0"/>
          <w:color w:val="33333D"/>
          <w:sz w:val="21"/>
        </w:rPr>
        <w:t>Second-level headings appear in a refined pink tone. Use them to break sections within a chapter into logical segments that guide the reader through your material.</w:t>
      </w:r>
    </w:p>
    <w:p>
      <w:pPr>
        <w:pStyle w:val="Heading3"/>
      </w:pPr>
      <w:r>
        <w:t>Smaller Heading</w:t>
      </w:r>
    </w:p>
    <w:p>
      <w:pPr>
        <w:spacing w:after="140" w:line="336" w:lineRule="auto"/>
      </w:pPr>
      <w:r>
        <w:rPr>
          <w:rFonts w:ascii="Georgia" w:hAnsi="Georgia"/>
          <w:b w:val="0"/>
          <w:i w:val="0"/>
          <w:color w:val="33333D"/>
          <w:sz w:val="21"/>
        </w:rPr>
        <w:t>Third-level headings use an amber-gold accent. They are ideal for specific topics, definitions, or worked examples within a section.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66"/>
      </w:tblGrid>
      <w:tr>
        <w:tc>
          <w:tcPr>
            <w:tcW w:type="dxa" w:w="9066"/>
            <w:shd w:fill="F5F3FF" w:val="clear"/>
            <w:tcBorders>
              <w:left w:val="single" w:sz="36" w:color="4C1D95" w:space="0"/>
              <w:top w:val="single" w:sz="4" w:color="D8B4FE" w:space="0"/>
              <w:bottom w:val="single" w:sz="4" w:color="D8B4FE" w:space="0"/>
              <w:right w:val="single" w:sz="4" w:color="D8B4FE" w:space="0"/>
            </w:tcBorders>
            <w:tcMar>
              <w:top w:w="160" w:type="dxa"/>
              <w:bottom w:w="160" w:type="dxa"/>
              <w:start w:w="160" w:type="dxa"/>
              <w:end w:w="160" w:type="dxa"/>
            </w:tcMar>
          </w:tcPr>
          <w:p>
            <w:pPr>
              <w:spacing w:before="200" w:after="200"/>
              <w:jc w:val="left"/>
              <w:ind w:left="120" w:right="120"/>
            </w:pPr>
            <w:r>
              <w:rPr>
                <w:rFonts w:ascii="Georgia" w:hAnsi="Georgia"/>
                <w:b/>
                <w:i/>
                <w:color w:val="4C1D95"/>
                <w:sz w:val="21"/>
              </w:rPr>
              <w:t>Key Takeaway — This is a highlight box with a left accent border. Use it for important formulas, key insights, or critical points you want the reader to remember.</w:t>
            </w:r>
          </w:p>
        </w:tc>
      </w:tr>
    </w:tbl>
    <w:p/>
    <w:p>
      <w:pPr>
        <w:pStyle w:val="Heading2"/>
      </w:pPr>
      <w:r>
        <w:t>Table Example</w:t>
      </w:r>
    </w:p>
    <w:p>
      <w:pPr>
        <w:spacing w:after="140" w:line="336" w:lineRule="auto"/>
      </w:pPr>
      <w:r>
        <w:rPr>
          <w:rFonts w:ascii="Georgia" w:hAnsi="Georgia"/>
          <w:b w:val="0"/>
          <w:i w:val="0"/>
          <w:color w:val="33333D"/>
          <w:sz w:val="21"/>
        </w:rPr>
        <w:t>Tables use the branded deep-purple header with subtle alternating row shading for easy reading: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4C1D95" w:val="clear"/>
            <w:tcBorders>
              <w:top w:val="single" w:sz="4" w:color="4C1D95" w:space="0"/>
              <w:left w:val="single" w:sz="4" w:color="4C1D95" w:space="0"/>
              <w:bottom w:val="single" w:sz="4" w:color="4C1D95" w:space="0"/>
              <w:right w:val="single" w:sz="4" w:color="4C1D95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Georgia" w:hAnsi="Georgia"/>
                <w:b/>
                <w:color w:val="FFFFFF"/>
                <w:sz w:val="18"/>
              </w:rPr>
              <w:t>Column A</w:t>
            </w:r>
          </w:p>
        </w:tc>
        <w:tc>
          <w:tcPr>
            <w:tcW w:type="dxa" w:w="3022"/>
            <w:shd w:fill="4C1D95" w:val="clear"/>
            <w:tcBorders>
              <w:top w:val="single" w:sz="4" w:color="4C1D95" w:space="0"/>
              <w:left w:val="single" w:sz="4" w:color="4C1D95" w:space="0"/>
              <w:bottom w:val="single" w:sz="4" w:color="4C1D95" w:space="0"/>
              <w:right w:val="single" w:sz="4" w:color="4C1D95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Georgia" w:hAnsi="Georgia"/>
                <w:b/>
                <w:color w:val="FFFFFF"/>
                <w:sz w:val="18"/>
              </w:rPr>
              <w:t>Column B</w:t>
            </w:r>
          </w:p>
        </w:tc>
        <w:tc>
          <w:tcPr>
            <w:tcW w:type="dxa" w:w="3022"/>
            <w:shd w:fill="4C1D95" w:val="clear"/>
            <w:tcBorders>
              <w:top w:val="single" w:sz="4" w:color="4C1D95" w:space="0"/>
              <w:left w:val="single" w:sz="4" w:color="4C1D95" w:space="0"/>
              <w:bottom w:val="single" w:sz="4" w:color="4C1D95" w:space="0"/>
              <w:right w:val="single" w:sz="4" w:color="4C1D95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Georgia" w:hAnsi="Georgia"/>
                <w:b/>
                <w:color w:val="FFFFFF"/>
                <w:sz w:val="18"/>
              </w:rPr>
              <w:t>Column C</w:t>
            </w:r>
          </w:p>
        </w:tc>
      </w:tr>
      <w:tr>
        <w:tc>
          <w:tcPr>
            <w:tcW w:type="dxa" w:w="3022"/>
            <w:shd w:fill="F5F3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Row 1 Data</w:t>
            </w:r>
          </w:p>
        </w:tc>
        <w:tc>
          <w:tcPr>
            <w:tcW w:type="dxa" w:w="3022"/>
            <w:shd w:fill="F5F3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Example text</w:t>
            </w:r>
          </w:p>
        </w:tc>
        <w:tc>
          <w:tcPr>
            <w:tcW w:type="dxa" w:w="3022"/>
            <w:shd w:fill="F5F3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Value</w:t>
            </w:r>
          </w:p>
        </w:tc>
      </w:tr>
      <w:tr>
        <w:tc>
          <w:tcPr>
            <w:tcW w:type="dxa" w:w="3022"/>
            <w:shd w:fill="FFFF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Row 2 Data</w:t>
            </w:r>
          </w:p>
        </w:tc>
        <w:tc>
          <w:tcPr>
            <w:tcW w:type="dxa" w:w="3022"/>
            <w:shd w:fill="FFFF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Example text</w:t>
            </w:r>
          </w:p>
        </w:tc>
        <w:tc>
          <w:tcPr>
            <w:tcW w:type="dxa" w:w="3022"/>
            <w:shd w:fill="FFFF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Value</w:t>
            </w:r>
          </w:p>
        </w:tc>
      </w:tr>
      <w:tr>
        <w:tc>
          <w:tcPr>
            <w:tcW w:type="dxa" w:w="3022"/>
            <w:shd w:fill="F5F3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Row 3 Data</w:t>
            </w:r>
          </w:p>
        </w:tc>
        <w:tc>
          <w:tcPr>
            <w:tcW w:type="dxa" w:w="3022"/>
            <w:shd w:fill="F5F3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Example text</w:t>
            </w:r>
          </w:p>
        </w:tc>
        <w:tc>
          <w:tcPr>
            <w:tcW w:type="dxa" w:w="3022"/>
            <w:shd w:fill="F5F3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Value</w:t>
            </w:r>
          </w:p>
        </w:tc>
      </w:tr>
      <w:tr>
        <w:tc>
          <w:tcPr>
            <w:tcW w:type="dxa" w:w="3022"/>
            <w:shd w:fill="FFFF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Row 4 Data</w:t>
            </w:r>
          </w:p>
        </w:tc>
        <w:tc>
          <w:tcPr>
            <w:tcW w:type="dxa" w:w="3022"/>
            <w:shd w:fill="FFFF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Example text</w:t>
            </w:r>
          </w:p>
        </w:tc>
        <w:tc>
          <w:tcPr>
            <w:tcW w:type="dxa" w:w="3022"/>
            <w:shd w:fill="FFFF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Value</w:t>
            </w:r>
          </w:p>
        </w:tc>
      </w:tr>
    </w:tbl>
    <w:p/>
    <w:p>
      <w:pPr>
        <w:spacing w:after="140" w:line="336" w:lineRule="auto"/>
      </w:pPr>
      <w:r>
        <w:rPr>
          <w:rFonts w:ascii="Georgia" w:hAnsi="Georgia"/>
          <w:b w:val="0"/>
          <w:i w:val="0"/>
          <w:color w:val="33333D"/>
          <w:sz w:val="21"/>
        </w:rPr>
        <w:t>Use as many tables as needed. The styling is automatically applied by the template.</w:t>
      </w:r>
    </w:p>
    <w:p>
      <w:r>
        <w:br w:type="page"/>
      </w:r>
    </w:p>
    <w:p>
      <w:pPr>
        <w:pStyle w:val="Heading1"/>
      </w:pPr>
      <w:r>
        <w:t>Chapter 2 — Another Section</w:t>
      </w:r>
    </w:p>
    <w:p>
      <w:pPr>
        <w:spacing w:after="140" w:line="336" w:lineRule="auto"/>
      </w:pPr>
      <w:r>
        <w:rPr>
          <w:rFonts w:ascii="Georgia" w:hAnsi="Georgia"/>
          <w:b w:val="0"/>
          <w:i w:val="0"/>
          <w:color w:val="33333D"/>
          <w:sz w:val="21"/>
        </w:rPr>
        <w:t>Continue adding chapters as needed. Each MoneyRules guide should aim for approximately 10 pages of clearly structured, accessible content that delivers genuine value to the reader.</w:t>
      </w:r>
    </w:p>
    <w:p>
      <w:pPr>
        <w:spacing w:after="140" w:line="336" w:lineRule="auto"/>
      </w:pPr>
      <w:r>
        <w:rPr>
          <w:rFonts w:ascii="Georgia" w:hAnsi="Georgia"/>
          <w:b w:val="0"/>
          <w:i w:val="0"/>
          <w:color w:val="33333D"/>
          <w:sz w:val="21"/>
        </w:rPr>
        <w:t>Remember: the goal is not to fill pages, but to communicate financial concepts in a way that is clear, practical, and actionable.</w:t>
      </w:r>
    </w:p>
    <w:p/>
    <w:p>
      <w:pPr>
        <w:jc w:val="center"/>
        <w:pBdr>
          <w:bottom w:val="single" w:sz="6" w:space="1" w:color="4C1D95"/>
        </w:pBdr>
      </w:pPr>
    </w:p>
    <w:p/>
    <w:p>
      <w:pPr>
        <w:jc w:val="center"/>
      </w:pPr>
      <w:r>
        <w:rPr>
          <w:rFonts w:ascii="Georgia" w:hAnsi="Georgia"/>
          <w:i/>
          <w:color w:val="4C1D95"/>
          <w:sz w:val="28"/>
        </w:rPr>
        <w:t>Thank you for reading.</w:t>
      </w:r>
    </w:p>
    <w:p/>
    <w:p>
      <w:pPr>
        <w:spacing w:after="40"/>
        <w:jc w:val="center"/>
      </w:pPr>
      <w:r>
        <w:rPr>
          <w:rFonts w:ascii="Georgia" w:hAnsi="Georgia"/>
          <w:b/>
          <w:color w:val="4C1D95"/>
          <w:sz w:val="24"/>
        </w:rPr>
        <w:t>Income Online</w:t>
      </w:r>
    </w:p>
    <w:p>
      <w:pPr>
        <w:spacing w:after="40"/>
        <w:jc w:val="center"/>
      </w:pPr>
      <w:r>
        <w:rPr>
          <w:rFonts w:ascii="Georgia" w:hAnsi="Georgia"/>
          <w:i/>
          <w:color w:val="BE185D"/>
          <w:sz w:val="20"/>
        </w:rPr>
        <w:t>Your Guide to Earning More</w:t>
      </w:r>
    </w:p>
    <w:p>
      <w:pPr>
        <w:spacing w:after="400"/>
        <w:jc w:val="center"/>
      </w:pPr>
      <w:r>
        <w:rPr>
          <w:rFonts w:ascii="Georgia" w:hAnsi="Georgia"/>
          <w:b/>
          <w:color w:val="BE185D"/>
          <w:sz w:val="20"/>
        </w:rPr>
        <w:t>www.incomeonline.info</w:t>
      </w:r>
    </w:p>
    <w:p>
      <w:pPr>
        <w:jc w:val="center"/>
        <w:pBdr>
          <w:top w:val="single" w:sz="6" w:space="1" w:color="4C1D95"/>
        </w:pBdr>
      </w:pPr>
    </w:p>
    <w:p/>
    <w:p>
      <w:pPr>
        <w:jc w:val="center"/>
      </w:pPr>
      <w:r>
        <w:rPr>
          <w:rFonts w:ascii="Georgia" w:hAnsi="Georgia"/>
          <w:i/>
          <w:color w:val="94A3B8"/>
          <w:sz w:val="15"/>
        </w:rPr>
        <w:t>© 2025 Income Online. All Rights Reserved.</w:t>
        <w:br/>
        <w:t>This document is for educational purposes only and does not constitute financial advice.</w:t>
      </w:r>
    </w:p>
    <w:sectPr w:rsidR="00FC693F" w:rsidRPr="0006063C" w:rsidSect="00034616">
      <w:footerReference w:type="default" r:id="rId9"/>
      <w:pgSz w:w="12240" w:h="15840"/>
      <w:pgMar w:top="1587" w:right="1587" w:bottom="1417" w:left="1587" w:header="720" w:footer="720" w:gutter="0"/>
      <w:cols w:space="720"/>
      <w:docGrid w:linePitch="360"/>
      <w:pgBorders w:offsetFrom="page">
        <w:top w:val="thinThickSmallGap" w:sz="36" w:space="20" w:color="4C1D95"/>
        <w:bottom w:val="thickThinSmallGap" w:sz="36" w:space="20" w:color="4C1D95"/>
        <w:left w:val="thinThickSmallGap" w:sz="36" w:space="20" w:color="4C1D95"/>
        <w:right w:val="thickThinSmallGap" w:sz="36" w:space="20" w:color="4C1D95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4C1D95"/>
      </w:pBdr>
      <w:spacing w:before="0" w:after="40"/>
      <w:tabs>
        <w:tab w:val="center" w:pos="4680"/>
        <w:tab w:val="right" w:pos="9360"/>
      </w:tabs>
    </w:pPr>
    <w:r>
      <w:rPr>
        <w:rFonts w:ascii="Georgia" w:hAnsi="Georgia"/>
        <w:color w:val="64748B"/>
        <w:sz w:val="16"/>
      </w:rPr>
      <w:t xml:space="preserve">Page </w:t>
    </w:r>
    <w:r>
      <w:rPr>
        <w:rFonts w:ascii="Georgia" w:hAnsi="Georgia"/>
        <w:color w:val="64748B"/>
        <w:sz w:val="16"/>
      </w:rPr>
      <w:fldChar w:fldCharType="begin"/>
    </w:r>
    <w:r>
      <w:rPr>
        <w:color w:val="64748B"/>
        <w:sz w:val="16"/>
      </w:rPr>
      <w:instrText xml:space="preserve"> PAGE </w:instrText>
    </w:r>
    <w:r>
      <w:fldChar w:fldCharType="end"/>
    </w:r>
    <w:r>
      <w:tab/>
    </w:r>
    <w:r>
      <w:rPr>
        <w:rFonts w:ascii="Georgia" w:hAnsi="Georgia"/>
        <w:i/>
        <w:color w:val="94A3B8"/>
        <w:sz w:val="14"/>
      </w:rPr>
      <w:t>MoneyRules Series</w:t>
    </w:r>
    <w:r>
      <w:tab/>
    </w:r>
    <w:r>
      <w:rPr>
        <w:rFonts w:ascii="Georgia" w:hAnsi="Georgia"/>
        <w:b/>
        <w:color w:val="BE185D"/>
        <w:sz w:val="16"/>
      </w:rPr>
      <w:t>www.incomeonline.info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Georgia" w:hAnsi="Georgia"/>
      <w:color w:val="3333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Georgia" w:hAnsi="Georgia"/>
      <w:b/>
      <w:bCs/>
      <w:color w:val="4C1D9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Georgia" w:hAnsi="Georgia"/>
      <w:b/>
      <w:bCs/>
      <w:color w:val="BE185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Georgia" w:hAnsi="Georgia"/>
      <w:b/>
      <w:bCs/>
      <w:color w:val="B45D0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