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p>
      <w:pPr>
        <w:pStyle w:val="Compact"/>
        <w:numPr>
          <w:ilvl w:val="0"/>
          <w:numId w:val="1001"/>
        </w:numPr>
      </w:pPr>
      <w:r>
        <w:t xml:space="preserve">To consider the challenges of capturing important dimensions of emotional states given the limitations of existing measurement tools.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2026-03-26T16:25:25Z</dcterms:created>
  <dcterms:modified xsi:type="dcterms:W3CDTF">2026-03-26T16:25:25Z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