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 게시판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금(혹은 목) 에 웹 프로젝트 가 시작될 예정입니다.   그 전에 수강생분들 자체적으로 팀편성을 할수 있다면, 편성하셔서 팀장님들이 알려주시기 바랍니다.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