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CF2613" w14:textId="77777777" w:rsidR="00A32EB6" w:rsidRDefault="001D0619">
      <w:pPr>
        <w:pStyle w:val="a8"/>
        <w:keepNext/>
        <w:spacing w:line="390" w:lineRule="exact"/>
        <w:jc w:val="center"/>
        <w:rPr>
          <w:lang w:eastAsia="ko-KR"/>
        </w:rPr>
      </w:pPr>
      <w:r>
        <w:rPr>
          <w:b/>
          <w:color w:val="000000"/>
          <w:sz w:val="26"/>
          <w:lang w:eastAsia="ko-KR"/>
        </w:rPr>
        <w:t>자동화설비 자격시험 공개문제 기반</w:t>
      </w:r>
    </w:p>
    <w:p w14:paraId="4DF47B1F" w14:textId="77777777" w:rsidR="00A32EB6" w:rsidRDefault="001D0619">
      <w:pPr>
        <w:pStyle w:val="a8"/>
        <w:keepNext/>
        <w:spacing w:after="80" w:line="390" w:lineRule="exact"/>
        <w:jc w:val="center"/>
        <w:rPr>
          <w:lang w:eastAsia="ko-KR"/>
        </w:rPr>
      </w:pPr>
      <w:r>
        <w:rPr>
          <w:b/>
          <w:color w:val="000000"/>
          <w:sz w:val="26"/>
          <w:lang w:eastAsia="ko-KR"/>
        </w:rPr>
        <w:t>AI PLC 실기·트러블슈팅 교육장비 설계</w:t>
      </w:r>
    </w:p>
    <w:p w14:paraId="37243465" w14:textId="77777777" w:rsidR="00A32EB6" w:rsidRDefault="001D0619">
      <w:pPr>
        <w:keepNext/>
        <w:spacing w:line="250" w:lineRule="exact"/>
        <w:jc w:val="center"/>
        <w:rPr>
          <w:lang w:eastAsia="ko-KR"/>
        </w:rPr>
      </w:pPr>
      <w:r>
        <w:rPr>
          <w:color w:val="000000"/>
          <w:sz w:val="20"/>
          <w:lang w:eastAsia="ko-KR"/>
        </w:rPr>
        <w:t>도형준, 박수용</w:t>
      </w:r>
    </w:p>
    <w:p w14:paraId="02FAE242" w14:textId="72E298D9" w:rsidR="00A32EB6" w:rsidRDefault="001D0619">
      <w:pPr>
        <w:keepNext/>
        <w:spacing w:line="225" w:lineRule="exact"/>
        <w:jc w:val="center"/>
        <w:rPr>
          <w:lang w:eastAsia="ko-KR"/>
        </w:rPr>
      </w:pPr>
      <w:r>
        <w:rPr>
          <w:color w:val="000000"/>
          <w:lang w:eastAsia="ko-KR"/>
        </w:rPr>
        <w:t>한국폴리텍대학 서울정수캠퍼스</w:t>
      </w:r>
    </w:p>
    <w:p w14:paraId="6DC6B01A" w14:textId="77777777" w:rsidR="00A32EB6" w:rsidRDefault="001D0619">
      <w:pPr>
        <w:keepNext/>
        <w:spacing w:after="100" w:line="225" w:lineRule="exact"/>
        <w:jc w:val="center"/>
      </w:pPr>
      <w:r>
        <w:rPr>
          <w:color w:val="000000"/>
        </w:rPr>
        <w:t>dhj00570@gmail.com, psy0635@gmail.com</w:t>
      </w:r>
    </w:p>
    <w:p w14:paraId="7A5EC324" w14:textId="77777777" w:rsidR="00A32EB6" w:rsidRDefault="001D0619">
      <w:pPr>
        <w:keepNext/>
        <w:spacing w:line="390" w:lineRule="exact"/>
        <w:jc w:val="center"/>
      </w:pPr>
      <w:r>
        <w:rPr>
          <w:b/>
          <w:color w:val="000000"/>
          <w:sz w:val="26"/>
        </w:rPr>
        <w:t>Design of an AI-Assisted PLC Practice and Troubleshooting</w:t>
      </w:r>
    </w:p>
    <w:p w14:paraId="20712A00" w14:textId="77777777" w:rsidR="00A32EB6" w:rsidRDefault="001D0619">
      <w:pPr>
        <w:keepNext/>
        <w:spacing w:after="80" w:line="390" w:lineRule="exact"/>
        <w:jc w:val="center"/>
      </w:pPr>
      <w:r>
        <w:rPr>
          <w:b/>
          <w:color w:val="000000"/>
          <w:sz w:val="26"/>
        </w:rPr>
        <w:t>Training System Based on Public Qualification Tasks</w:t>
      </w:r>
    </w:p>
    <w:p w14:paraId="30650776" w14:textId="77777777" w:rsidR="00A32EB6" w:rsidRDefault="001D0619">
      <w:pPr>
        <w:keepNext/>
        <w:spacing w:line="250" w:lineRule="exact"/>
        <w:jc w:val="center"/>
      </w:pPr>
      <w:r>
        <w:rPr>
          <w:color w:val="000000"/>
          <w:sz w:val="20"/>
        </w:rPr>
        <w:t>HyeongJun DO, SuYong PARK</w:t>
      </w:r>
    </w:p>
    <w:p w14:paraId="2EDBFBF5" w14:textId="7A0EB623" w:rsidR="00A32EB6" w:rsidRDefault="001D0619">
      <w:pPr>
        <w:keepNext/>
        <w:spacing w:after="80" w:line="225" w:lineRule="exact"/>
        <w:jc w:val="center"/>
      </w:pPr>
      <w:r>
        <w:rPr>
          <w:color w:val="000000"/>
        </w:rPr>
        <w:t>Korea Polytechnics, Seoul Jungsu Campus</w:t>
      </w:r>
    </w:p>
    <w:p w14:paraId="485DA16C" w14:textId="77777777" w:rsidR="00A32EB6" w:rsidRDefault="001D0619">
      <w:pPr>
        <w:keepNext/>
        <w:spacing w:after="60" w:line="264" w:lineRule="exact"/>
        <w:jc w:val="center"/>
        <w:rPr>
          <w:lang w:eastAsia="ko-KR"/>
        </w:rPr>
      </w:pPr>
      <w:r>
        <w:rPr>
          <w:b/>
          <w:color w:val="000000"/>
          <w:sz w:val="22"/>
          <w:lang w:eastAsia="ko-KR"/>
        </w:rPr>
        <w:t>요  약</w:t>
      </w:r>
    </w:p>
    <w:p w14:paraId="2E06EF99" w14:textId="77777777" w:rsidR="008F5C69" w:rsidRDefault="008F5C69">
      <w:pPr>
        <w:spacing w:after="20" w:line="279" w:lineRule="exact"/>
        <w:jc w:val="both"/>
        <w:rPr>
          <w:color w:val="000000"/>
          <w:lang w:eastAsia="ko-KR"/>
        </w:rPr>
      </w:pPr>
      <w:r>
        <w:rPr>
          <w:color w:val="000000"/>
          <w:lang w:eastAsia="ko-KR"/>
        </w:rPr>
        <w:t xml:space="preserve">PLC 트러블슈팅 실습에서 최종 동작만 확인하면, 학생이 어떤 관측을 근거로 원인을 좁혔는지는 평가하기 어렵다. 본 연구는 자격시험 공개문제를 교육용 과제로 재구성하고, 학생의 진단 기록을 중심으로 평가와 학습 지원을 연결한 교육장비 AutoCert AI Lab을 설계하였다. 장비는 결선·입출력 변화와 학생의 가설·확인 결과·수정 이유를 힌트 이력과 함께 시간순으로 저장한다. 과제 조건은 규칙 엔진이 판정하고, AI는 점검 질문만 제시하며, 교수자는 진단 설명을 평가한다. 학습 후에는 힌트 없는 새 과제로 독립 수행을 확인한다. 본 논문은 이 설계와 검증 계획을 제시한다.</w:t>
      </w:r>
    </w:p>
    <w:p w14:paraId="548EB5DB" w14:textId="28C87A42" w:rsidR="00A32EB6" w:rsidRDefault="001D0619">
      <w:pPr>
        <w:spacing w:after="20" w:line="279" w:lineRule="exact"/>
        <w:jc w:val="both"/>
        <w:rPr>
          <w:lang w:eastAsia="ko-KR"/>
        </w:rPr>
      </w:pPr>
      <w:r>
        <w:rPr>
          <w:rFonts w:ascii="NanumGothic" w:eastAsia="NanumGothic" w:hAnsi="NanumGothic" w:cs="NanumGothic"/>
          <w:color w:val="000000"/>
          <w:lang w:eastAsia="ko-KR"/>
        </w:rPr>
        <w:t xml:space="preserve">Key Words : PLC, Educational Equipment, Troubleshooting, Process Assessment, AI Learning Support</w:t>
      </w:r>
    </w:p>
    <w:p w14:paraId="01E38880" w14:textId="77777777" w:rsidR="00A32EB6" w:rsidRDefault="00A32EB6">
      <w:pPr>
        <w:rPr>
          <w:lang w:eastAsia="ko-KR"/>
        </w:rPr>
        <w:sectPr w:rsidR="00A32EB6">
          <w:headerReference w:type="default" r:id="rId8"/>
          <w:footerReference w:type="default" r:id="rId9"/>
          <w:pgSz w:w="11906" w:h="16838"/>
          <w:pgMar w:top="1134" w:right="850" w:bottom="1134" w:left="1134" w:header="680" w:footer="680" w:gutter="0"/>
          <w:cols w:space="283"/>
          <w:docGrid w:linePitch="360"/>
        </w:sectPr>
      </w:pPr>
    </w:p>
    <w:p w14:paraId="10F8463C" w14:textId="77777777" w:rsidR="00A32EB6" w:rsidRDefault="001D0619">
      <w:pPr>
        <w:pStyle w:val="1"/>
        <w:spacing w:before="140" w:after="40" w:line="348" w:lineRule="exact"/>
        <w:jc w:val="both"/>
        <w:rPr>
          <w:lang w:eastAsia="ko-KR"/>
        </w:rPr>
      </w:pPr>
      <w:r>
        <w:rPr>
          <w:b/>
          <w:color w:val="000000"/>
          <w:sz w:val="22"/>
          <w:lang w:eastAsia="ko-KR"/>
        </w:rPr>
        <w:t>Ⅰ. 서 론</w:t>
      </w:r>
    </w:p>
    <w:p w14:paraId="1FAB13F7" w14:textId="77777777" w:rsidR="00A32EB6" w:rsidRDefault="001D0619">
      <w:pPr>
        <w:spacing w:line="279" w:lineRule="exact"/>
        <w:ind w:firstLine="140"/>
        <w:jc w:val="both"/>
        <w:rPr>
          <w:lang w:eastAsia="ko-KR"/>
        </w:rPr>
      </w:pPr>
      <w:r>
        <w:rPr>
          <w:color w:val="000000"/>
          <w:lang w:eastAsia="ko-KR"/>
        </w:rPr>
        <w:t xml:space="preserve">자동화설비 교육에서 PLC(Programmable Logic Controller) 실습은 센서와 구동장치를 결선하고 프로그램으로 설비 동작을 구현하는 핵심 학습 활동이다. Q-Net의 자동화설비기능사·산업기사 공개문제는 PLC 제어작업을 제시하고[1,2], NCS는 결선·프로그래밍과 함께 시운전·수정보완을 수행 요소로 둔다[3]. 즉 요구되는 역량에는 정해진 동작을 완성하는 능력과 함께 동작하지 않는 원인을 찾아 고치는 능력이 포함된다. 그러나 후자는 최종 동작으로 평가하기 어렵다. 같은 동작을 완성한 두 학생이라도 한 명은 관측값으로 원인을 좁혔고 다른 한 명은 배선을 바꿔 보다가 우연히 해결했을 수 있으며, 교수자가 여러 학생의 점검 과정을 실시간으로 모두 관찰하기도 어렵다.</w:t>
      </w:r>
    </w:p>
    <w:p w14:paraId="01299CA3" w14:textId="77777777" w:rsidR="00A32EB6" w:rsidRDefault="001D0619">
      <w:pPr>
        <w:spacing w:line="279" w:lineRule="exact"/>
        <w:ind w:firstLine="140"/>
        <w:jc w:val="both"/>
        <w:rPr>
          <w:lang w:eastAsia="ko-KR"/>
        </w:rPr>
      </w:pPr>
      <w:r>
        <w:rPr>
          <w:color w:val="000000"/>
          <w:lang w:eastAsia="ko-KR"/>
        </w:rPr>
        <w:t xml:space="preserve">PLC 실습에 관한 선행연구는 주로 실습의 접근성과 장비 운용 범위를 넓혀 왔다. 한얼 외는 웹 기반 PLC 실험실로 시간과 장소의 제약을 줄였고[4], 오재준·최성주는 필드버스 교육장비를 개발하고 데이터 수집·모니터링을 통한 원격진단을 구현하였다[5]. 그러나 이들 연구에서 기록되는 대상은 장비 상태이며, 학생이 그 상태를 어떤 가설과 연결해 판단했는지는 남지 않는다. 한편 PLC 분야의 LLM 연구는 제어 코드 생성에 집중되어 있고, 외부 검증 없이는 생성 코드의 유효성을 보장하기 어렵다고 보고되었다[6]. 따라서 실습에 AI를 도입하더라도 정답 생성이 아니라 학생의 점검을 안내하는 역할로 제한하고, 판정은 별도의 검증 수단에 맡길 필요가 있다.</w:t>
      </w:r>
    </w:p>
    <w:p w14:paraId="346ACBA5" w14:textId="77777777" w:rsidR="00A32EB6" w:rsidRDefault="001D0619">
      <w:pPr>
        <w:spacing w:line="279" w:lineRule="exact"/>
        <w:ind w:firstLine="140"/>
        <w:jc w:val="both"/>
        <w:rPr>
          <w:lang w:eastAsia="ko-KR"/>
        </w:rPr>
      </w:pPr>
      <w:r>
        <w:rPr>
          <w:color w:val="000000"/>
          <w:lang w:eastAsia="ko-KR"/>
        </w:rPr>
        <w:t xml:space="preserve">Jonassen과 Hung은 지식이나 절차 위주의 교육만으로는 새로운 상황에 적용 가능한 트러블슈팅 능력을 기르기 어렵다고 보고, 가설 생성·검증과 결과 해석을 포함한 학습 환경을 제안하였다[7]. 김혜빈 외는 학습 기록이 빈도나 소요 시간에 머물지 않고 교육적으로 해석 가능한 지표로 이어져야 한다고 제언하였다[8]. 두 관점을 결합하면, 트러블슈팅 실습에서 남겨야 할 기록은 조작 횟수가 아니라 가설–관측–판단의 연결이며, 본 연구는 이를 진단 기록으로 정의한다.</w:t>
      </w:r>
    </w:p>
    <w:p w14:paraId="6E43D187" w14:textId="77777777" w:rsidR="00D05851" w:rsidRDefault="001D0619">
      <w:pPr>
        <w:spacing w:line="279" w:lineRule="exact"/>
        <w:ind w:firstLine="140"/>
        <w:jc w:val="both"/>
        <w:rPr>
          <w:color w:val="000000"/>
          <w:lang w:eastAsia="ko-KR"/>
        </w:rPr>
      </w:pPr>
      <w:r>
        <w:rPr>
          <w:color w:val="000000"/>
          <w:lang w:eastAsia="ko-KR"/>
        </w:rPr>
        <w:t xml:space="preserve">진단 기록은 교수자의 평가 근거이자 AI가 학생별 점검 질문을 구성하는 입력이다. 다만 AI의 안내가 정답 제시로 변하거나 지원받은 성공이 실력으로 오인될 수 있으므로, UNESCO의 인간 중심 접근[9]에 따라 AI 피드백은 교수자가 검토하고 학습 후에는 독립 수행을 확인한다. 본 연구의 목적은 진단 기록, AI 점검 지원, 독립 수행 확인을 하나의 실습 흐름으로 연결한 교육장비 AutoCert AI Lab을 설계하고 검증 계획을 제시하는 것이다.</w:t>
      </w:r>
    </w:p>
    <w:p w14:paraId="7C0331E0" w14:textId="77777777" w:rsidR="00A32EB6" w:rsidRDefault="001D0619">
      <w:pPr>
        <w:pStyle w:val="1"/>
        <w:spacing w:before="140" w:after="40" w:line="348" w:lineRule="exact"/>
        <w:jc w:val="both"/>
        <w:rPr>
          <w:lang w:eastAsia="ko-KR"/>
        </w:rPr>
      </w:pPr>
      <w:r>
        <w:rPr>
          <w:b/>
          <w:color w:val="000000"/>
          <w:sz w:val="22"/>
          <w:lang w:eastAsia="ko-KR"/>
        </w:rPr>
        <w:t>Ⅱ. 시스템 설계</w:t>
      </w:r>
    </w:p>
    <w:p w14:paraId="219D5C5F" w14:textId="77777777" w:rsidR="00A32EB6" w:rsidRDefault="001D0619">
      <w:pPr>
        <w:pStyle w:val="21"/>
        <w:spacing w:before="60" w:after="20" w:line="234" w:lineRule="exact"/>
        <w:jc w:val="both"/>
        <w:rPr>
          <w:lang w:eastAsia="ko-KR"/>
        </w:rPr>
      </w:pPr>
      <w:r>
        <w:rPr>
          <w:b/>
          <w:color w:val="000000"/>
          <w:lang w:eastAsia="ko-KR"/>
        </w:rPr>
        <w:t>1. 장비와 과제 구성</w:t>
      </w:r>
    </w:p>
    <w:p w14:paraId="2CED66EE" w14:textId="77777777" w:rsidR="00A32EB6" w:rsidRDefault="001D0619">
      <w:pPr>
        <w:spacing w:line="279" w:lineRule="exact"/>
        <w:ind w:firstLine="140"/>
        <w:jc w:val="both"/>
        <w:rPr>
          <w:lang w:eastAsia="ko-KR"/>
        </w:rPr>
      </w:pPr>
      <w:r>
        <w:rPr>
          <w:color w:val="000000"/>
          <w:lang w:eastAsia="ko-KR"/>
        </w:rPr>
        <w:t xml:space="preserve">장비는 24 V DC 제어부, PLC, 센서, 공압실린더, 모터, 비상정지 장치로 구성한다. 초기 시제품은 설계 요소의 검증에 집중하기 위해 PLC 1종과 과제 3종으로 범위를 제한한다. 교수자는 허용된 실습 조건에서 센서 신호 누락과 응답 지연을 고장 조건으로 설정한다. 두 조건은 모두 입출력 상태 변화로 관측되므로 학생의 판단을 장비 기록과 대조할 수 있다. 비상정지와 에너지 차단은 AI·통신과 독립된 별도 안전 회로가 담당한다(그림 1).</w:t>
      </w:r>
    </w:p>
    <w:p w14:paraId="2A9277B4" w14:textId="77777777" w:rsidR="00A32EB6" w:rsidRDefault="001D0619">
      <w:pPr>
        <w:spacing w:line="279" w:lineRule="exact"/>
        <w:ind w:firstLine="140"/>
        <w:jc w:val="both"/>
        <w:rPr>
          <w:lang w:eastAsia="ko-KR"/>
        </w:rPr>
      </w:pPr>
      <w:r>
        <w:rPr>
          <w:color w:val="000000"/>
          <w:lang w:eastAsia="ko-KR"/>
        </w:rPr>
        <w:t xml:space="preserve">과제 프로파일에는 과제 버전, 입출력(I/O) 주소, 동작 순서와 시간 조건을 저장하며, 규칙 엔진과 기록 모듈은 이를 기준으로 판정과 기록을 수행한다. 공개문제는 교육용 과제를 구성하는 자료로만 활용하고, 실습 판정 조건은 교수자가 설정한다. 공개문제 요구사항이 변경되면[1,2] 장비에서 구현 가능한 범위를 검토해 프로파일을 갱신하고, PLC 기종이 바뀌면 통신·전기적 호환성을 별도로 확인한다. 본 장비는 공식 시험의 인증 장비나 채점 기준을 의미하지 않는다.</w:t>
      </w:r>
    </w:p>
    <w:p w14:paraId="5006F38E" w14:textId="77777777" w:rsidR="00A32EB6" w:rsidRDefault="001D0619">
      <w:pPr>
        <w:keepNext/>
        <w:spacing w:before="60" w:line="240" w:lineRule="auto"/>
        <w:jc w:val="center"/>
      </w:pPr>
      <w:r>
        <w:rPr>
          <w:noProof/>
        </w:rPr>
        <w:drawing>
          <wp:inline distT="0" distB="0" distL="0" distR="0" wp14:anchorId="1E21F0EA" wp14:editId="172414DB">
            <wp:extent cx="2988000" cy="1301914"/>
            <wp:effectExtent l="0" t="0" r="0" b="0"/>
            <wp:docPr id="1" name="Picture 1" descr="설계 개념도. 장비에서 수집한 과정 기록과 과제 프로파일을 규칙 엔진 및 AI 학습 지원에 전달하고 교수자가 결과를 검토한다. 안전 회로는 별도 구성한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design.png"/>
                    <pic:cNvPicPr/>
                  </pic:nvPicPr>
                  <pic:blipFill>
                    <a:blip r:embed="rId10"/>
                    <a:stretch>
                      <a:fillRect/>
                    </a:stretch>
                  </pic:blipFill>
                  <pic:spPr>
                    <a:xfrm>
                      <a:off x="0" y="0"/>
                      <a:ext cx="2988000" cy="1301914"/>
                    </a:xfrm>
                    <a:prstGeom prst="rect">
                      <a:avLst/>
                    </a:prstGeom>
                  </pic:spPr>
                </pic:pic>
              </a:graphicData>
            </a:graphic>
          </wp:inline>
        </w:drawing>
      </w:r>
    </w:p>
    <w:p w14:paraId="35BA6D25" w14:textId="77777777" w:rsidR="00A32EB6" w:rsidRDefault="001D0619">
      <w:pPr>
        <w:spacing w:after="40" w:line="221" w:lineRule="exact"/>
        <w:jc w:val="center"/>
        <w:rPr>
          <w:lang w:eastAsia="ko-KR"/>
        </w:rPr>
      </w:pPr>
      <w:r>
        <w:rPr>
          <w:color w:val="000000"/>
          <w:sz w:val="17"/>
          <w:lang w:eastAsia="ko-KR"/>
        </w:rPr>
        <w:t>그림 1. 과정 기록과 평가·학습 지원의 구성</w:t>
      </w:r>
    </w:p>
    <w:p w14:paraId="4BFA071F" w14:textId="77777777" w:rsidR="00A32EB6" w:rsidRDefault="001D0619">
      <w:pPr>
        <w:pStyle w:val="21"/>
        <w:spacing w:before="60" w:after="20" w:line="234" w:lineRule="exact"/>
        <w:jc w:val="both"/>
        <w:rPr>
          <w:lang w:eastAsia="ko-KR"/>
        </w:rPr>
      </w:pPr>
      <w:r>
        <w:rPr>
          <w:b/>
          <w:color w:val="000000"/>
          <w:lang w:eastAsia="ko-KR"/>
        </w:rPr>
        <w:lastRenderedPageBreak/>
        <w:t>2. 기록과 실습 운영</w:t>
      </w:r>
    </w:p>
    <w:p w14:paraId="51F01291" w14:textId="77777777" w:rsidR="00A32EB6" w:rsidRDefault="001D0619">
      <w:pPr>
        <w:spacing w:line="279" w:lineRule="exact"/>
        <w:ind w:firstLine="140"/>
        <w:jc w:val="both"/>
        <w:rPr>
          <w:lang w:eastAsia="ko-KR"/>
        </w:rPr>
      </w:pPr>
      <w:r>
        <w:rPr>
          <w:color w:val="000000"/>
          <w:lang w:eastAsia="ko-KR"/>
        </w:rPr>
        <w:t xml:space="preserve">결선 상태 감지 단자대와 I/O 로거가 장비 상태를 수집하고, 학생은 점검 전 가설과 점검 후 확인 결과·수정 이유를 화면에 입력한다. 시스템은 이를 힌트 이력과 함께 시간순으로 저장한다. 자동 감지는 단자대와 I/O의 관측 가능한 변화로 한정되므로, 판단 근거는 학생 입력으로 보완한다. 실습은 세 모드로 운영한다. 학습 모드는 힌트를 제공하고, 모의시험 모드는 힌트를 중지하여 독립 수행을 확인하며, 복기 모드는 당시의 관측값과 학생의 설명을 시간순으로 보여주어 피드백 자료로 쓴다.</w:t>
      </w:r>
    </w:p>
    <w:p w14:paraId="02052A82" w14:textId="77777777" w:rsidR="00A32EB6" w:rsidRDefault="001D0619">
      <w:pPr>
        <w:pStyle w:val="1"/>
        <w:spacing w:before="140" w:after="40" w:line="348" w:lineRule="exact"/>
        <w:jc w:val="both"/>
        <w:rPr>
          <w:lang w:eastAsia="ko-KR"/>
        </w:rPr>
      </w:pPr>
      <w:r>
        <w:rPr>
          <w:b/>
          <w:color w:val="000000"/>
          <w:sz w:val="22"/>
          <w:lang w:eastAsia="ko-KR"/>
        </w:rPr>
        <w:t>Ⅲ. 과정평가와 AI 학습 지원</w:t>
      </w:r>
    </w:p>
    <w:p w14:paraId="1B3C6AEF" w14:textId="77777777" w:rsidR="00A32EB6" w:rsidRDefault="001D0619">
      <w:pPr>
        <w:spacing w:line="279" w:lineRule="exact"/>
        <w:ind w:firstLine="140"/>
        <w:jc w:val="both"/>
        <w:rPr>
          <w:lang w:eastAsia="ko-KR"/>
        </w:rPr>
      </w:pPr>
      <w:r>
        <w:rPr>
          <w:color w:val="000000"/>
          <w:lang w:eastAsia="ko-KR"/>
        </w:rPr>
        <w:t xml:space="preserve">규칙 엔진은 과제 프로파일의 동작 순서·시간 조건 충족 여부와 금지 상태의 발생 여부를 판정한다. AI는 진단 기록과 검수된 과제 자료의 범위 안에서 점검 질문과 힌트만 제시하며, 장비 제어와 점수 확정은 맡지 않는다[6]. 교수자는 가설이 관측 결과와 부합하는지, 점검 순서가 원인 범위를 좁혔는지, 최종 원인 설명이 설정한 고장 조건과 일치하는지를 기준으로 평가하며, 힌트 수나 수정 횟수만으로 숙련도를 판정하지 않는다. AI 응답이 불가능할 때는 교수자가 검수한 고정 힌트를 제공한다.</w:t>
      </w:r>
    </w:p>
    <w:p w14:paraId="77DF2505" w14:textId="77777777" w:rsidR="00A32EB6" w:rsidRDefault="001D0619">
      <w:pPr>
        <w:spacing w:line="279" w:lineRule="exact"/>
        <w:ind w:firstLine="140"/>
        <w:jc w:val="both"/>
        <w:rPr>
          <w:lang w:eastAsia="ko-KR"/>
        </w:rPr>
      </w:pPr>
      <w:r>
        <w:rPr>
          <w:color w:val="000000"/>
          <w:lang w:eastAsia="ko-KR"/>
        </w:rPr>
        <w:t xml:space="preserve">예를 들어 실린더가 멈춘 상황에서 학생이 센서 신호 누락을 가설로 입력하면, AI는 원인을 알려주지 않고 관련 입력 상태와 동작 조건을 확인하도록 질문한다. 학생은 관측 결과가 가설을 뒷받침하는지 검토한 뒤, 가설을 유지하거나 수정한 이유와 다음 조치를 기록한다. 구성 요소별 역할은 표 1과 같다.</w:t>
      </w:r>
    </w:p>
    <w:p w14:paraId="469C2BA0" w14:textId="77777777" w:rsidR="00A32EB6" w:rsidRDefault="001D0619">
      <w:pPr>
        <w:keepNext/>
        <w:spacing w:before="60" w:line="221" w:lineRule="exact"/>
        <w:jc w:val="center"/>
        <w:rPr>
          <w:lang w:eastAsia="ko-KR"/>
        </w:rPr>
      </w:pPr>
      <w:r>
        <w:rPr>
          <w:color w:val="000000"/>
          <w:sz w:val="17"/>
          <w:lang w:eastAsia="ko-KR"/>
        </w:rPr>
        <w:t>표 1. 평가와 학습 지원의 역할</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34"/>
        <w:gridCol w:w="3572"/>
      </w:tblGrid>
      <w:tr w:rsidR="00A32EB6" w14:paraId="6174F423" w14:textId="77777777">
        <w:trPr>
          <w:cantSplit/>
          <w:tblHeader/>
          <w:jc w:val="center"/>
        </w:trPr>
        <w:tc>
          <w:tcPr>
            <w:tcW w:w="1134" w:type="dxa"/>
            <w:shd w:val="clear" w:color="auto" w:fill="EDEDED"/>
            <w:tcMar>
              <w:top w:w="40" w:type="dxa"/>
              <w:left w:w="40" w:type="dxa"/>
              <w:bottom w:w="40" w:type="dxa"/>
              <w:right w:w="40" w:type="dxa"/>
            </w:tcMar>
            <w:vAlign w:val="center"/>
          </w:tcPr>
          <w:p w14:paraId="704267DF" w14:textId="77777777" w:rsidR="00A32EB6" w:rsidRDefault="001D0619">
            <w:pPr>
              <w:spacing w:before="20" w:after="20" w:line="220" w:lineRule="exact"/>
              <w:jc w:val="center"/>
            </w:pPr>
            <w:r>
              <w:rPr>
                <w:rFonts w:ascii="NanumGothic" w:eastAsia="NanumGothic" w:hAnsi="NanumGothic" w:cs="NanumGothic"/>
                <w:b/>
                <w:color w:val="000000"/>
                <w:sz w:val="16"/>
              </w:rPr>
              <w:t>구분</w:t>
            </w:r>
          </w:p>
        </w:tc>
        <w:tc>
          <w:tcPr>
            <w:tcW w:w="3572" w:type="dxa"/>
            <w:shd w:val="clear" w:color="auto" w:fill="EDEDED"/>
            <w:tcMar>
              <w:top w:w="40" w:type="dxa"/>
              <w:left w:w="40" w:type="dxa"/>
              <w:bottom w:w="40" w:type="dxa"/>
              <w:right w:w="40" w:type="dxa"/>
            </w:tcMar>
            <w:vAlign w:val="center"/>
          </w:tcPr>
          <w:p w14:paraId="3E97D28B" w14:textId="77777777" w:rsidR="00A32EB6" w:rsidRDefault="001D0619">
            <w:pPr>
              <w:spacing w:before="20" w:after="20" w:line="220" w:lineRule="exact"/>
            </w:pPr>
            <w:r>
              <w:rPr>
                <w:rFonts w:ascii="NanumGothic" w:eastAsia="NanumGothic" w:hAnsi="NanumGothic" w:cs="NanumGothic"/>
                <w:b/>
                <w:color w:val="000000"/>
                <w:sz w:val="16"/>
              </w:rPr>
              <w:t>역할</w:t>
            </w:r>
          </w:p>
        </w:tc>
      </w:tr>
      <w:tr w:rsidR="00A32EB6" w14:paraId="1DA9B9ED" w14:textId="77777777">
        <w:trPr>
          <w:cantSplit/>
          <w:jc w:val="center"/>
        </w:trPr>
        <w:tc>
          <w:tcPr>
            <w:tcW w:w="1134" w:type="dxa"/>
            <w:tcMar>
              <w:top w:w="40" w:type="dxa"/>
              <w:left w:w="40" w:type="dxa"/>
              <w:bottom w:w="40" w:type="dxa"/>
              <w:right w:w="40" w:type="dxa"/>
            </w:tcMar>
            <w:vAlign w:val="center"/>
          </w:tcPr>
          <w:p w14:paraId="5EC6D428" w14:textId="77777777" w:rsidR="00A32EB6" w:rsidRDefault="001D0619">
            <w:pPr>
              <w:spacing w:before="20" w:after="20" w:line="220" w:lineRule="exact"/>
              <w:jc w:val="center"/>
            </w:pPr>
            <w:r>
              <w:rPr>
                <w:color w:val="000000"/>
                <w:sz w:val="16"/>
              </w:rPr>
              <w:t>별도 안전 회로</w:t>
            </w:r>
          </w:p>
        </w:tc>
        <w:tc>
          <w:tcPr>
            <w:tcW w:w="3572" w:type="dxa"/>
            <w:tcMar>
              <w:top w:w="40" w:type="dxa"/>
              <w:left w:w="40" w:type="dxa"/>
              <w:bottom w:w="40" w:type="dxa"/>
              <w:right w:w="40" w:type="dxa"/>
            </w:tcMar>
            <w:vAlign w:val="center"/>
          </w:tcPr>
          <w:p w14:paraId="0CC5DC86" w14:textId="77777777" w:rsidR="00A32EB6" w:rsidRDefault="001D0619">
            <w:pPr>
              <w:spacing w:before="20" w:after="20" w:line="220" w:lineRule="exact"/>
              <w:rPr>
                <w:lang w:eastAsia="ko-KR"/>
              </w:rPr>
            </w:pPr>
            <w:r>
              <w:rPr>
                <w:color w:val="000000"/>
                <w:sz w:val="16"/>
                <w:lang w:eastAsia="ko-KR"/>
              </w:rPr>
              <w:t>비상정지 및 위험 에너지 차단</w:t>
            </w:r>
          </w:p>
        </w:tc>
      </w:tr>
      <w:tr w:rsidR="00A32EB6" w14:paraId="5A291FFE" w14:textId="77777777">
        <w:trPr>
          <w:cantSplit/>
          <w:jc w:val="center"/>
        </w:trPr>
        <w:tc>
          <w:tcPr>
            <w:tcW w:w="1134" w:type="dxa"/>
            <w:tcMar>
              <w:top w:w="40" w:type="dxa"/>
              <w:left w:w="40" w:type="dxa"/>
              <w:bottom w:w="40" w:type="dxa"/>
              <w:right w:w="40" w:type="dxa"/>
            </w:tcMar>
            <w:vAlign w:val="center"/>
          </w:tcPr>
          <w:p w14:paraId="134E8A40" w14:textId="77777777" w:rsidR="00A32EB6" w:rsidRDefault="001D0619">
            <w:pPr>
              <w:spacing w:before="20" w:after="20" w:line="220" w:lineRule="exact"/>
              <w:jc w:val="center"/>
            </w:pPr>
            <w:r>
              <w:rPr>
                <w:color w:val="000000"/>
                <w:sz w:val="16"/>
              </w:rPr>
              <w:t xml:space="preserve">규칙 엔진</w:t>
            </w:r>
          </w:p>
        </w:tc>
        <w:tc>
          <w:tcPr>
            <w:tcW w:w="3572" w:type="dxa"/>
            <w:tcMar>
              <w:top w:w="40" w:type="dxa"/>
              <w:left w:w="40" w:type="dxa"/>
              <w:bottom w:w="40" w:type="dxa"/>
              <w:right w:w="40" w:type="dxa"/>
            </w:tcMar>
            <w:vAlign w:val="center"/>
          </w:tcPr>
          <w:p w14:paraId="471A61DC" w14:textId="77777777" w:rsidR="00A32EB6" w:rsidRDefault="001D0619">
            <w:pPr>
              <w:spacing w:before="20" w:after="20" w:line="220" w:lineRule="exact"/>
              <w:rPr>
                <w:lang w:eastAsia="ko-KR"/>
              </w:rPr>
            </w:pPr>
            <w:r>
              <w:rPr>
                <w:color w:val="000000"/>
                <w:sz w:val="16"/>
                <w:lang w:eastAsia="ko-KR"/>
              </w:rPr>
              <w:t xml:space="preserve">과제 조건 충족 판정</w:t>
            </w:r>
          </w:p>
        </w:tc>
      </w:tr>
      <w:tr w:rsidR="00A32EB6" w14:paraId="71CBEC1E" w14:textId="77777777">
        <w:trPr>
          <w:cantSplit/>
          <w:jc w:val="center"/>
        </w:trPr>
        <w:tc>
          <w:tcPr>
            <w:tcW w:w="1134" w:type="dxa"/>
            <w:tcMar>
              <w:top w:w="40" w:type="dxa"/>
              <w:left w:w="40" w:type="dxa"/>
              <w:bottom w:w="40" w:type="dxa"/>
              <w:right w:w="40" w:type="dxa"/>
            </w:tcMar>
            <w:vAlign w:val="center"/>
          </w:tcPr>
          <w:p w14:paraId="76BD42C4" w14:textId="77777777" w:rsidR="00A32EB6" w:rsidRDefault="001D0619">
            <w:pPr>
              <w:spacing w:before="20" w:after="20" w:line="220" w:lineRule="exact"/>
              <w:jc w:val="center"/>
            </w:pPr>
            <w:r>
              <w:rPr>
                <w:color w:val="000000"/>
                <w:sz w:val="16"/>
              </w:rPr>
              <w:t xml:space="preserve">AI 학습 지원</w:t>
            </w:r>
          </w:p>
        </w:tc>
        <w:tc>
          <w:tcPr>
            <w:tcW w:w="3572" w:type="dxa"/>
            <w:tcMar>
              <w:top w:w="40" w:type="dxa"/>
              <w:left w:w="40" w:type="dxa"/>
              <w:bottom w:w="40" w:type="dxa"/>
              <w:right w:w="40" w:type="dxa"/>
            </w:tcMar>
            <w:vAlign w:val="center"/>
          </w:tcPr>
          <w:p w14:paraId="55B73DD5" w14:textId="77777777" w:rsidR="00A32EB6" w:rsidRDefault="001D0619">
            <w:pPr>
              <w:spacing w:before="20" w:after="20" w:line="220" w:lineRule="exact"/>
              <w:rPr>
                <w:lang w:eastAsia="ko-KR"/>
              </w:rPr>
            </w:pPr>
            <w:r>
              <w:rPr>
                <w:color w:val="000000"/>
                <w:sz w:val="16"/>
                <w:lang w:eastAsia="ko-KR"/>
              </w:rPr>
              <w:t xml:space="preserve">기록에 근거한 점검 질문·힌트, 복기 지원</w:t>
            </w:r>
          </w:p>
        </w:tc>
      </w:tr>
      <w:tr w:rsidR="00A32EB6" w14:paraId="7D199CC1" w14:textId="77777777">
        <w:trPr>
          <w:cantSplit/>
          <w:jc w:val="center"/>
        </w:trPr>
        <w:tc>
          <w:tcPr>
            <w:tcW w:w="1134" w:type="dxa"/>
            <w:tcMar>
              <w:top w:w="40" w:type="dxa"/>
              <w:left w:w="40" w:type="dxa"/>
              <w:bottom w:w="40" w:type="dxa"/>
              <w:right w:w="40" w:type="dxa"/>
            </w:tcMar>
            <w:vAlign w:val="center"/>
          </w:tcPr>
          <w:p w14:paraId="372E2FA3" w14:textId="77777777" w:rsidR="00A32EB6" w:rsidRDefault="001D0619">
            <w:pPr>
              <w:spacing w:before="20" w:after="20" w:line="220" w:lineRule="exact"/>
              <w:jc w:val="center"/>
            </w:pPr>
            <w:r>
              <w:rPr>
                <w:color w:val="000000"/>
                <w:sz w:val="16"/>
              </w:rPr>
              <w:t>교수자</w:t>
            </w:r>
          </w:p>
        </w:tc>
        <w:tc>
          <w:tcPr>
            <w:tcW w:w="3572" w:type="dxa"/>
            <w:tcMar>
              <w:top w:w="40" w:type="dxa"/>
              <w:left w:w="40" w:type="dxa"/>
              <w:bottom w:w="40" w:type="dxa"/>
              <w:right w:w="40" w:type="dxa"/>
            </w:tcMar>
            <w:vAlign w:val="center"/>
          </w:tcPr>
          <w:p w14:paraId="01E65A0F" w14:textId="77777777" w:rsidR="00A32EB6" w:rsidRDefault="001D0619">
            <w:pPr>
              <w:spacing w:before="20" w:after="20" w:line="220" w:lineRule="exact"/>
              <w:rPr>
                <w:lang w:eastAsia="ko-KR"/>
              </w:rPr>
            </w:pPr>
            <w:r>
              <w:rPr>
                <w:color w:val="000000"/>
                <w:sz w:val="16"/>
                <w:lang w:eastAsia="ko-KR"/>
              </w:rPr>
              <w:t>평가 기준 설정, 설명 평가와 피드백 검토</w:t>
            </w:r>
          </w:p>
        </w:tc>
      </w:tr>
    </w:tbl>
    <w:p w14:paraId="5A9F97DE" w14:textId="77777777" w:rsidR="00A32EB6" w:rsidRDefault="001D0619">
      <w:pPr>
        <w:pStyle w:val="1"/>
        <w:spacing w:before="140" w:after="40" w:line="348" w:lineRule="exact"/>
        <w:jc w:val="both"/>
        <w:rPr>
          <w:lang w:eastAsia="ko-KR"/>
        </w:rPr>
      </w:pPr>
      <w:r>
        <w:rPr>
          <w:b/>
          <w:color w:val="000000"/>
          <w:sz w:val="22"/>
          <w:lang w:eastAsia="ko-KR"/>
        </w:rPr>
        <w:t>Ⅳ. 구현 및 검증 계획</w:t>
      </w:r>
    </w:p>
    <w:p w14:paraId="75C682A8" w14:textId="77777777" w:rsidR="00914383" w:rsidRDefault="00914383">
      <w:pPr>
        <w:spacing w:line="279" w:lineRule="exact"/>
        <w:ind w:firstLine="140"/>
        <w:jc w:val="both"/>
        <w:rPr>
          <w:color w:val="000000"/>
          <w:lang w:eastAsia="ko-KR"/>
        </w:rPr>
      </w:pPr>
      <w:r>
        <w:rPr>
          <w:color w:val="000000"/>
          <w:lang w:eastAsia="ko-KR"/>
        </w:rPr>
        <w:t xml:space="preserve">검증은 기록 정확성, 교육 효과, AI 힌트 효과의 세 측면으로 수행한다. 먼저 결선 상태와 I/O 변화의 기록 누락 여부와 시간 오차를 측정하고, 학생 입력이 해당 시점의 장비 기록과 연결되는지 점검한다. 또한 교수자가 기록만으로 파악한 오류 원인과 점검 순서를 실제 고장 조건 및 실습 관찰 기록과 대조하고, 기록 검토와 피드백 작성 시간을 측정한다.</w:t>
      </w:r>
    </w:p>
    <w:p w14:paraId="6C50A543" w14:textId="77777777" w:rsidR="00691173" w:rsidRDefault="00691173">
      <w:pPr>
        <w:spacing w:line="279" w:lineRule="exact"/>
        <w:ind w:firstLine="140"/>
        <w:jc w:val="both"/>
        <w:rPr>
          <w:color w:val="000000"/>
          <w:lang w:eastAsia="ko-KR"/>
        </w:rPr>
      </w:pPr>
      <w:r>
        <w:rPr>
          <w:color w:val="000000"/>
          <w:lang w:eastAsia="ko-KR"/>
        </w:rPr>
        <w:t xml:space="preserve">교육 효과는 같은 장비와 수업시간을 사용하는 기존 실습과 비교한다. 학습 후 유사 난이도의 새 과제를 제시하여, AI나 교수자의 도움 없이 완료한 과제의 비율을 독립 수행률로 산출하고, 진단한 원인의 정확성과 설명의 타당성을 함께 평가한다. 비교에 앞서 두 집단의 사전 수준을 맞추는 방법과 과제 난이도·완료 기준을 구체화한다.</w:t>
      </w:r>
    </w:p>
    <w:p w14:paraId="49D3063C" w14:textId="15472821" w:rsidR="00A32EB6" w:rsidRDefault="00691173">
      <w:pPr>
        <w:spacing w:line="279" w:lineRule="exact"/>
        <w:ind w:firstLine="140"/>
        <w:jc w:val="both"/>
        <w:rPr>
          <w:lang w:eastAsia="ko-KR"/>
        </w:rPr>
      </w:pPr>
      <w:r>
        <w:rPr>
          <w:color w:val="000000"/>
          <w:lang w:eastAsia="ko-KR"/>
        </w:rPr>
        <w:t xml:space="preserve">AI 힌트의 효과는 기록 방식과 과제 조건을 동일하게 둔 상태에서 고정 힌트와 비교하며, 잘못된 안내나 정답을 직접 제시한 사례는 따로 분류한다. 과제 완료 시간과 힌트 사용량은 해석의 보조 자료로만 활용한다.</w:t>
      </w:r>
    </w:p>
    <w:p w14:paraId="4BB49866" w14:textId="77777777" w:rsidR="00A32EB6" w:rsidRDefault="001D0619">
      <w:pPr>
        <w:pStyle w:val="1"/>
        <w:spacing w:before="140" w:after="40" w:line="348" w:lineRule="exact"/>
        <w:jc w:val="both"/>
        <w:rPr>
          <w:lang w:eastAsia="ko-KR"/>
        </w:rPr>
      </w:pPr>
      <w:r>
        <w:rPr>
          <w:b/>
          <w:color w:val="000000"/>
          <w:sz w:val="22"/>
          <w:lang w:eastAsia="ko-KR"/>
        </w:rPr>
        <w:t>Ⅴ. 결 론</w:t>
      </w:r>
    </w:p>
    <w:p w14:paraId="172F005E" w14:textId="77777777" w:rsidR="00914383" w:rsidRDefault="00914383" w:rsidP="00914383">
      <w:pPr>
        <w:spacing w:line="279" w:lineRule="exact"/>
        <w:ind w:firstLine="140"/>
        <w:jc w:val="both"/>
        <w:rPr>
          <w:lang w:eastAsia="ko-KR"/>
        </w:rPr>
      </w:pPr>
      <w:r>
        <w:rPr>
          <w:color w:val="000000"/>
          <w:lang w:eastAsia="ko-KR"/>
        </w:rPr>
        <w:t xml:space="preserve">본 연구는 자격시험 공개문제를 교육용 과제로 재구성한 PLC 실습 교육장비 AutoCert AI Lab을 설계하였다. 설계의 중심은 장비 상태와 학생의 가설·판단을 연결한 진단 기록이며, 이를 기준으로 규칙 엔진은 판정을, AI는 정답이 아닌 점검 질문을, 교수자는 평가를 맡도록 역할을 나누었다.</w:t>
      </w:r>
    </w:p>
    <w:p w14:paraId="5E204489" w14:textId="451379A8" w:rsidR="00914383" w:rsidRDefault="00914383" w:rsidP="00914383">
      <w:pPr>
        <w:spacing w:line="279" w:lineRule="exact"/>
        <w:ind w:firstLine="140"/>
        <w:jc w:val="both"/>
        <w:rPr>
          <w:lang w:eastAsia="ko-KR"/>
        </w:rPr>
      </w:pPr>
      <w:r>
        <w:rPr>
          <w:color w:val="000000"/>
          <w:lang w:eastAsia="ko-KR"/>
        </w:rPr>
        <w:t xml:space="preserve">본 설계는 평가 대상을 최종 동작에서 진단 과정으로 옮긴다는 점에서 기존 PLC 실습과 다르다. 진단 기록이 남으면 교수자는 같은 결과 뒤에 가려진 잘못된 가설이나 누락된 점검 단계를 찾아 학생별로 지도할 수 있고, 학생은 복기를 통해 관측에 근거해 원인을 설명하는 습관을 기를 수 있다. 독립 수행 확인은 AI의 도움으로 얻은 성공과 실제 역량을 구분하는 기준이 된다. 교육 효과는 Ⅳ장의 계획으로 검증할 과제이나, 원인을 찾아 수정하는 능력이 공개문제와 NCS의 핵심 요구인 만큼 이를 평가하고 지도할 근거를 남기는 실습 환경은 반드시 필요하다. 이에 본 연구는 AutoCert AI Lab을 자동화설비 PLC 실습의 과정 중심 평가·지도 모델로 제안한다.</w:t>
      </w:r>
    </w:p>
    <w:p w14:paraId="05595D23" w14:textId="5209D43F" w:rsidR="00A32EB6" w:rsidRDefault="001D0619" w:rsidP="00914383">
      <w:pPr>
        <w:pStyle w:val="1"/>
        <w:spacing w:before="140" w:after="40" w:line="348" w:lineRule="exact"/>
        <w:jc w:val="both"/>
        <w:rPr>
          <w:lang w:eastAsia="ko-KR"/>
        </w:rPr>
      </w:pPr>
      <w:r>
        <w:rPr>
          <w:b/>
          <w:color w:val="000000"/>
          <w:sz w:val="22"/>
          <w:lang w:eastAsia="ko-KR"/>
        </w:rPr>
        <w:t>참고문헌</w:t>
      </w:r>
    </w:p>
    <w:p w14:paraId="5056BB57" w14:textId="77777777" w:rsidR="00A32EB6" w:rsidRDefault="001D0619">
      <w:pPr>
        <w:spacing w:after="20" w:line="181" w:lineRule="exact"/>
        <w:ind w:left="260" w:hanging="260"/>
        <w:rPr>
          <w:lang w:eastAsia="ko-KR"/>
        </w:rPr>
      </w:pPr>
      <w:r>
        <w:rPr>
          <w:color w:val="000000"/>
          <w:sz w:val="16"/>
          <w:lang w:eastAsia="ko-KR"/>
        </w:rPr>
        <w:t xml:space="preserve">[1] 한국산업인력공단, “[공개문제]자동화설비기능사,” Q-Net, 2025.10.1. (접속 2026.9.16). Available: </w:t>
      </w:r>
      <w:hyperlink r:id="rId11">
        <w:r>
          <w:rPr>
            <w:sz w:val="16"/>
            <w:u w:val="single"/>
            <w:lang w:eastAsia="ko-KR"/>
          </w:rPr>
          <w:t xml:space="preserve">https://www.q-net.or.kr/cst006.do?artlSeq=5199091&amp;brdId=Q006&amp;code=1204&amp;gId=&amp;gSite=Q&amp;id=cst00602</w:t>
        </w:r>
      </w:hyperlink>
    </w:p>
    <w:p w14:paraId="2A5DD837" w14:textId="77777777" w:rsidR="00A32EB6" w:rsidRDefault="001D0619">
      <w:pPr>
        <w:spacing w:after="20" w:line="181" w:lineRule="exact"/>
        <w:ind w:left="260" w:hanging="260"/>
        <w:rPr>
          <w:lang w:eastAsia="ko-KR"/>
        </w:rPr>
      </w:pPr>
      <w:r>
        <w:rPr>
          <w:color w:val="000000"/>
          <w:sz w:val="16"/>
          <w:lang w:eastAsia="ko-KR"/>
        </w:rPr>
        <w:t xml:space="preserve">[2] 한국산업인력공단, “[공개문제]자동화설비산업기사,” Q-Net, 2024.12.5. (접속 2026.9.16). Available: </w:t>
      </w:r>
      <w:hyperlink r:id="rId12">
        <w:r>
          <w:rPr>
            <w:sz w:val="16"/>
            <w:u w:val="single"/>
            <w:lang w:eastAsia="ko-KR"/>
          </w:rPr>
          <w:t xml:space="preserve">https://www.q-net.or.kr/cst006.do?artlSeq=5211235&amp;brdId=Q006&amp;code=1204&amp;gId=&amp;gSite=Q&amp;id=cst00602</w:t>
        </w:r>
      </w:hyperlink>
    </w:p>
    <w:p w14:paraId="6D3C8720" w14:textId="77777777" w:rsidR="00A32EB6" w:rsidRDefault="001D0619">
      <w:pPr>
        <w:spacing w:after="20" w:line="181" w:lineRule="exact"/>
        <w:ind w:left="260" w:hanging="260"/>
        <w:rPr>
          <w:lang w:eastAsia="ko-KR"/>
        </w:rPr>
      </w:pPr>
      <w:r>
        <w:rPr>
          <w:color w:val="000000"/>
          <w:sz w:val="16"/>
          <w:lang w:eastAsia="ko-KR"/>
        </w:rPr>
        <w:t xml:space="preserve">[3] 한국산업인력공단, “프로그램로직제어(PLC) 기본 운영,” NCS 능력단위 1901080412_20v3. (접속 2026.9.16). Available: </w:t>
      </w:r>
      <w:hyperlink r:id="rId13">
        <w:r>
          <w:rPr>
            <w:sz w:val="16"/>
            <w:u w:val="single"/>
            <w:lang w:eastAsia="ko-KR"/>
          </w:rPr>
          <w:t xml:space="preserve">https://www.ncs.go.kr</w:t>
        </w:r>
      </w:hyperlink>
    </w:p>
    <w:p w14:paraId="4618CBF6" w14:textId="77777777" w:rsidR="00A32EB6" w:rsidRDefault="001D0619">
      <w:pPr>
        <w:spacing w:after="20" w:line="181" w:lineRule="exact"/>
        <w:ind w:left="260" w:hanging="260"/>
        <w:rPr>
          <w:lang w:eastAsia="ko-KR"/>
        </w:rPr>
      </w:pPr>
      <w:r>
        <w:rPr>
          <w:color w:val="000000"/>
          <w:sz w:val="16"/>
          <w:lang w:eastAsia="ko-KR"/>
        </w:rPr>
        <w:t xml:space="preserve">[4] 한얼, 박성무, 홍상은, “산업 자동화 교육훈련을 위한 웹기반 PLC 실험실의 설계 및 구현,” 한국산학기술학회논문지, 11(1), pp. 101-106, 2010. </w:t>
      </w:r>
      <w:hyperlink r:id="rId14">
        <w:r>
          <w:rPr>
            <w:sz w:val="16"/>
            <w:u w:val="single"/>
            <w:lang w:eastAsia="ko-KR"/>
          </w:rPr>
          <w:t>doi:10.5762/KAIS.2010.11.1.101</w:t>
        </w:r>
      </w:hyperlink>
    </w:p>
    <w:p w14:paraId="40558797" w14:textId="77777777" w:rsidR="00A32EB6" w:rsidRDefault="001D0619">
      <w:pPr>
        <w:spacing w:after="20" w:line="181" w:lineRule="exact"/>
        <w:ind w:left="260" w:hanging="260"/>
      </w:pPr>
      <w:r>
        <w:rPr>
          <w:color w:val="000000"/>
          <w:sz w:val="16"/>
          <w:lang w:eastAsia="ko-KR"/>
        </w:rPr>
        <w:t xml:space="preserve">[5] 오재준, 최성주, “스마트팩토리 구축을 위한 PLC기반의 필드버스 교육 장비 및 교육과정 개발,” 실천공학교육논문지, 9(1), pp. 49-56, 2017. </w:t>
      </w:r>
      <w:hyperlink r:id="rId15">
        <w:r>
          <w:rPr>
            <w:sz w:val="16"/>
            <w:u w:val="single"/>
          </w:rPr>
          <w:t>doi:10.14702/jpee.2017.9.1.49</w:t>
        </w:r>
      </w:hyperlink>
    </w:p>
    <w:p w14:paraId="3A1B2C4D" w14:textId="77777777" w:rsidR="00A32EB6" w:rsidRDefault="001D0619">
      <w:pPr>
        <w:spacing w:after="20" w:line="181" w:lineRule="exact"/>
        <w:ind w:left="260" w:hanging="260"/>
        <w:rPr>
          <w:lang w:eastAsia="ko-KR"/>
        </w:rPr>
      </w:pPr>
      <w:r>
        <w:rPr>
          <w:color w:val="000000"/>
          <w:sz w:val="16"/>
        </w:rPr>
        <w:t xml:space="preserve">[6] M. Fakih, R. Dharmaji, Y. Moghaddas, G. Quiros Araya, O. Ogundare, and M. A. Al Faruque, “LLM4PLC: Harnessing Large Language Models for Verifiable Programming of PLCs in Industrial Control Systems,” arXiv:2401.05443, 2024. </w:t>
      </w:r>
      <w:hyperlink r:id="rId90">
        <w:r>
          <w:rPr>
            <w:sz w:val="16"/>
            <w:u w:val="single"/>
            <w:lang w:eastAsia="ko-KR"/>
          </w:rPr>
          <w:t>doi:10.48550/arXiv.2401.05443</w:t>
        </w:r>
      </w:hyperlink>
    </w:p>
    <w:p w14:paraId="2C3F82EC" w14:textId="77777777" w:rsidR="00A32EB6" w:rsidRDefault="001D0619">
      <w:pPr>
        <w:spacing w:after="20" w:line="181" w:lineRule="exact"/>
        <w:ind w:left="260" w:hanging="260"/>
        <w:rPr>
          <w:lang w:eastAsia="ko-KR"/>
        </w:rPr>
      </w:pPr>
      <w:r>
        <w:rPr>
          <w:color w:val="000000"/>
          <w:sz w:val="16"/>
        </w:rPr>
        <w:t xml:space="preserve">[7] D. H. Jonassen and W. Hung, “Learning to Troubleshoot: A New Theory-Based Design Architecture,” Educational Psychology Review, 18(1), pp. 77-114, 2006. </w:t>
      </w:r>
      <w:hyperlink r:id="rId16">
        <w:r>
          <w:rPr>
            <w:sz w:val="16"/>
            <w:u w:val="single"/>
            <w:lang w:eastAsia="ko-KR"/>
          </w:rPr>
          <w:t>doi:10.1007/s10648-006-9001-8</w:t>
        </w:r>
      </w:hyperlink>
    </w:p>
    <w:p w14:paraId="1B8E7420" w14:textId="77777777" w:rsidR="00A32EB6" w:rsidRDefault="001D0619">
      <w:pPr>
        <w:spacing w:after="20" w:line="181" w:lineRule="exact"/>
        <w:ind w:left="260" w:hanging="260"/>
      </w:pPr>
      <w:r>
        <w:rPr>
          <w:color w:val="000000"/>
          <w:sz w:val="16"/>
          <w:lang w:eastAsia="ko-KR"/>
        </w:rPr>
        <w:t xml:space="preserve">[8] 김혜빈, 표은서, 신안나, 조일현, “국내 디지털 교수학습 환경에서의 학습분석 연구 및 데이터 활용에 대한 체계적 문헌 고찰,” 교육공학연구, 39(2), pp. 595-638, 2023. </w:t>
      </w:r>
      <w:hyperlink r:id="rId17">
        <w:r>
          <w:rPr>
            <w:sz w:val="16"/>
            <w:u w:val="single"/>
          </w:rPr>
          <w:t>doi:10.17232/KSET.39.2.595</w:t>
        </w:r>
      </w:hyperlink>
    </w:p>
    <w:p w14:paraId="638C5093" w14:textId="77777777" w:rsidR="00A32EB6" w:rsidRDefault="001D0619">
      <w:pPr>
        <w:spacing w:after="20" w:line="181" w:lineRule="exact"/>
        <w:ind w:left="260" w:hanging="260"/>
      </w:pPr>
      <w:r>
        <w:rPr>
          <w:color w:val="000000"/>
          <w:sz w:val="16"/>
        </w:rPr>
        <w:t xml:space="preserve">[9] F. Miao and W. Holmes, Guidance for Generative AI in Education and Research. Paris: UNESCO, 2023. Available: </w:t>
      </w:r>
      <w:hyperlink r:id="rId18">
        <w:r>
          <w:rPr>
            <w:sz w:val="16"/>
            <w:u w:val="single"/>
          </w:rPr>
          <w:t xml:space="preserve">https://www.unesco.org/en/articles/guidance-generative-ai-education-and-research</w:t>
        </w:r>
      </w:hyperlink>
    </w:p>
    <w:sectPr w:rsidR="00A32EB6">
      <w:headerReference w:type="default" r:id="rId19"/>
      <w:footerReference w:type="default" r:id="rId20"/>
      <w:type w:val="continuous"/>
      <w:pgSz w:w="11906" w:h="16838"/>
      <w:pgMar w:top="1134" w:right="850" w:bottom="1134" w:left="1134" w:header="680" w:footer="680" w:gutter="0"/>
      <w:cols w:num="2" w:space="28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EB033" w14:textId="77777777" w:rsidR="0027746B" w:rsidRDefault="0027746B">
      <w:pPr>
        <w:spacing w:line="240" w:lineRule="auto"/>
      </w:pPr>
      <w:r>
        <w:separator/>
      </w:r>
    </w:p>
  </w:endnote>
  <w:endnote w:type="continuationSeparator" w:id="0">
    <w:p w14:paraId="3578C2DD" w14:textId="77777777" w:rsidR="0027746B" w:rsidRDefault="002774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anumMyeongjo">
    <w:altName w:val="맑은 고딕"/>
    <w:charset w:val="81"/>
    <w:family w:val="auto"/>
    <w:pitch w:val="variable"/>
    <w:sig w:usb0="80000003" w:usb1="09D7FCEB" w:usb2="00000010" w:usb3="00000000" w:csb0="00080001" w:csb1="00000000"/>
    <w:embedRegular r:id="rId1" w:subsetted="1" w:fontKey="{110F9AF0-49E6-47AE-A8EB-AC30A3A847BB}"/>
    <w:embedBold r:id="rId2" w:subsetted="1" w:fontKey="{A0F2A4C6-2C6F-45F0-A0F4-FCB588213D04}"/>
  </w:font>
  <w:font w:name="NanumGothic">
    <w:altName w:val="나눔고딕"/>
    <w:charset w:val="81"/>
    <w:family w:val="auto"/>
    <w:pitch w:val="variable"/>
    <w:sig w:usb0="80000003" w:usb1="09D7FCEB" w:usb2="00000010" w:usb3="00000000" w:csb0="00080001" w:csb1="00000000"/>
    <w:embedRegular r:id="rId3" w:subsetted="1" w:fontKey="{8677EC7C-3EC8-4C2F-8BC5-BE497BA2C96D}"/>
    <w:embedBold r:id="rId4" w:subsetted="1" w:fontKey="{B84795DB-F0D6-484D-98AE-8DD7D9D14F2D}"/>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D9612" w14:textId="77777777" w:rsidR="00ED5C8A" w:rsidRDefault="00671207">
    <w:pPr>
      <w:pStyle w:val="a6"/>
      <w:jc w:val="center"/>
    </w:pPr>
    <w:r>
      <w:rPr>
        <w:color w:val="000000"/>
        <w:sz w:val="16"/>
      </w:rPr>
      <w:t xml:space="preserve">- </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1</w:t>
    </w:r>
    <w:r>
      <w:rPr>
        <w:color w:val="000000"/>
        <w:sz w:val="16"/>
      </w:rPr>
      <w:fldChar w:fldCharType="end"/>
    </w:r>
    <w:r>
      <w:rPr>
        <w:color w:val="000000"/>
        <w:sz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C95A7" w14:textId="77777777" w:rsidR="00ED5C8A" w:rsidRDefault="00671207">
    <w:pPr>
      <w:pStyle w:val="a6"/>
      <w:jc w:val="center"/>
    </w:pPr>
    <w:r>
      <w:rPr>
        <w:color w:val="000000"/>
        <w:sz w:val="16"/>
      </w:rPr>
      <w:t xml:space="preserve">- </w:t>
    </w:r>
    <w:r>
      <w:rPr>
        <w:color w:val="000000"/>
        <w:sz w:val="16"/>
      </w:rPr>
      <w:fldChar w:fldCharType="begin"/>
    </w:r>
    <w:r>
      <w:rPr>
        <w:color w:val="000000"/>
        <w:sz w:val="16"/>
      </w:rPr>
      <w:instrText xml:space="preserve"> PAGE </w:instrText>
    </w:r>
    <w:r>
      <w:rPr>
        <w:color w:val="000000"/>
        <w:sz w:val="16"/>
      </w:rPr>
      <w:fldChar w:fldCharType="separate"/>
    </w:r>
    <w:r>
      <w:rPr>
        <w:color w:val="000000"/>
        <w:sz w:val="16"/>
      </w:rPr>
      <w:t>1</w:t>
    </w:r>
    <w:r>
      <w:rPr>
        <w:color w:val="000000"/>
        <w:sz w:val="16"/>
      </w:rPr>
      <w:fldChar w:fldCharType="end"/>
    </w:r>
    <w:r>
      <w:rPr>
        <w:color w:val="000000"/>
        <w:sz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D62AB7" w14:textId="77777777" w:rsidR="0027746B" w:rsidRDefault="0027746B">
      <w:pPr>
        <w:spacing w:line="240" w:lineRule="auto"/>
      </w:pPr>
      <w:r>
        <w:separator/>
      </w:r>
    </w:p>
  </w:footnote>
  <w:footnote w:type="continuationSeparator" w:id="0">
    <w:p w14:paraId="15C54FCF" w14:textId="77777777" w:rsidR="0027746B" w:rsidRDefault="002774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36299" w14:textId="77777777" w:rsidR="00ED5C8A" w:rsidRDefault="00671207">
    <w:pPr>
      <w:pStyle w:val="a5"/>
      <w:jc w:val="right"/>
    </w:pPr>
    <w:r>
      <w:rPr>
        <w:color w:val="000000"/>
        <w:sz w:val="16"/>
        <w:lang w:eastAsia="ko-KR"/>
      </w:rPr>
      <w:t xml:space="preserve">2026년 </w:t>
    </w:r>
    <w:proofErr w:type="spellStart"/>
    <w:r>
      <w:rPr>
        <w:color w:val="000000"/>
        <w:sz w:val="16"/>
        <w:lang w:eastAsia="ko-KR"/>
      </w:rPr>
      <w:t>한국실천공학교육학회</w:t>
    </w:r>
    <w:proofErr w:type="spellEnd"/>
    <w:r>
      <w:rPr>
        <w:color w:val="000000"/>
        <w:sz w:val="16"/>
        <w:lang w:eastAsia="ko-KR"/>
      </w:rPr>
      <w:t xml:space="preserve"> 학술발표대회 논문집. </w:t>
    </w:r>
    <w:r>
      <w:rPr>
        <w:color w:val="000000"/>
        <w:sz w:val="16"/>
      </w:rPr>
      <w:t>Vol.1, No.1,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7C0E6" w14:textId="77777777" w:rsidR="00ED5C8A" w:rsidRDefault="00671207">
    <w:pPr>
      <w:pStyle w:val="a5"/>
      <w:jc w:val="right"/>
    </w:pPr>
    <w:r>
      <w:rPr>
        <w:color w:val="000000"/>
        <w:sz w:val="16"/>
        <w:lang w:eastAsia="ko-KR"/>
      </w:rPr>
      <w:t xml:space="preserve">2026년 </w:t>
    </w:r>
    <w:proofErr w:type="spellStart"/>
    <w:r>
      <w:rPr>
        <w:color w:val="000000"/>
        <w:sz w:val="16"/>
        <w:lang w:eastAsia="ko-KR"/>
      </w:rPr>
      <w:t>한국실천공학교육학회</w:t>
    </w:r>
    <w:proofErr w:type="spellEnd"/>
    <w:r>
      <w:rPr>
        <w:color w:val="000000"/>
        <w:sz w:val="16"/>
        <w:lang w:eastAsia="ko-KR"/>
      </w:rPr>
      <w:t xml:space="preserve"> 학술발표대회 논문집. </w:t>
    </w:r>
    <w:r>
      <w:rPr>
        <w:color w:val="000000"/>
        <w:sz w:val="16"/>
      </w:rPr>
      <w:t>Vol.1, No.1,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809"/>
    <w:rsid w:val="000F437C"/>
    <w:rsid w:val="0015074B"/>
    <w:rsid w:val="001D0619"/>
    <w:rsid w:val="0027746B"/>
    <w:rsid w:val="0029639D"/>
    <w:rsid w:val="002D7529"/>
    <w:rsid w:val="00326F90"/>
    <w:rsid w:val="003C2A7B"/>
    <w:rsid w:val="003C3F39"/>
    <w:rsid w:val="00490BC1"/>
    <w:rsid w:val="004F24A8"/>
    <w:rsid w:val="004F4211"/>
    <w:rsid w:val="0055289B"/>
    <w:rsid w:val="00671207"/>
    <w:rsid w:val="00691173"/>
    <w:rsid w:val="00737D44"/>
    <w:rsid w:val="008F5C69"/>
    <w:rsid w:val="00914383"/>
    <w:rsid w:val="009F0F0A"/>
    <w:rsid w:val="00A307A8"/>
    <w:rsid w:val="00A32EB6"/>
    <w:rsid w:val="00A46F1A"/>
    <w:rsid w:val="00AA1D8D"/>
    <w:rsid w:val="00B146D3"/>
    <w:rsid w:val="00B1604A"/>
    <w:rsid w:val="00B47730"/>
    <w:rsid w:val="00C835DF"/>
    <w:rsid w:val="00C940A6"/>
    <w:rsid w:val="00CB0664"/>
    <w:rsid w:val="00CB6E16"/>
    <w:rsid w:val="00D05851"/>
    <w:rsid w:val="00DA7BAE"/>
    <w:rsid w:val="00EC30F5"/>
    <w:rsid w:val="00ED5C8A"/>
    <w:rsid w:val="00FA5E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50BF61"/>
  <w14:defaultImageDpi w14:val="300"/>
  <w15:docId w15:val="{66C9779E-BC7E-450F-AC5A-FBC132428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pPr>
    <w:rPr>
      <w:rFonts w:ascii="NanumMyeongjo" w:eastAsia="NanumMyeongjo" w:hAnsi="NanumMyeongjo" w:cs="NanumMyeongjo"/>
      <w:sz w:val="18"/>
    </w:rPr>
  </w:style>
  <w:style w:type="paragraph" w:styleId="1">
    <w:name w:val="heading 1"/>
    <w:basedOn w:val="a1"/>
    <w:next w:val="a1"/>
    <w:link w:val="1Char"/>
    <w:uiPriority w:val="9"/>
    <w:qFormat/>
    <w:rsid w:val="00FC693F"/>
    <w:pPr>
      <w:keepNext/>
      <w:keepLines/>
      <w:outlineLvl w:val="0"/>
    </w:pPr>
    <w:rPr>
      <w:rFonts w:ascii="NanumGothic" w:eastAsia="NanumGothic" w:hAnsi="NanumGothic" w:cs="NanumGothic"/>
    </w:rPr>
  </w:style>
  <w:style w:type="paragraph" w:styleId="21">
    <w:name w:val="heading 2"/>
    <w:basedOn w:val="a1"/>
    <w:next w:val="a1"/>
    <w:link w:val="2Char"/>
    <w:uiPriority w:val="9"/>
    <w:unhideWhenUsed/>
    <w:qFormat/>
    <w:rsid w:val="00FC693F"/>
    <w:pPr>
      <w:keepNext/>
      <w:keepLines/>
      <w:outlineLvl w:val="1"/>
    </w:pPr>
    <w:rPr>
      <w:rFonts w:ascii="NanumGothic" w:eastAsia="NanumGothic" w:hAnsi="NanumGothic" w:cs="NanumGothic"/>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line="240" w:lineRule="auto"/>
      <w:contextualSpacing/>
    </w:p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Hyperlink"/>
    <w:basedOn w:val="a2"/>
    <w:uiPriority w:val="99"/>
    <w:unhideWhenUsed/>
    <w:rsid w:val="00B1604A"/>
    <w:rPr>
      <w:color w:val="0000FF" w:themeColor="hyperlink"/>
      <w:u w:val="single"/>
    </w:rPr>
  </w:style>
  <w:style w:type="character" w:styleId="aff2">
    <w:name w:val="Unresolved Mention"/>
    <w:basedOn w:val="a2"/>
    <w:uiPriority w:val="99"/>
    <w:semiHidden/>
    <w:unhideWhenUsed/>
    <w:rsid w:val="00B160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ncs.go.kr" TargetMode="External"/><Relationship Id="rId18" Type="http://schemas.openxmlformats.org/officeDocument/2006/relationships/hyperlink" Target="https://www.unesco.org/en/articles/guidance-generative-ai-education-and-research"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q-net.or.kr/cst006.do?artlSeq=5211235&amp;brdId=Q006&amp;code=1204&amp;gId=&amp;gSite=Q&amp;id=cst00602" TargetMode="External"/><Relationship Id="rId17" Type="http://schemas.openxmlformats.org/officeDocument/2006/relationships/hyperlink" Target="https://doi.org/10.17232/KSET.39.2.595" TargetMode="External"/><Relationship Id="rId2" Type="http://schemas.openxmlformats.org/officeDocument/2006/relationships/numbering" Target="numbering.xml"/><Relationship Id="rId16" Type="http://schemas.openxmlformats.org/officeDocument/2006/relationships/hyperlink" Target="https://doi.org/10.1007/s10648-006-9001-8"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q-net.or.kr/cst006.do?artlSeq=5199091&amp;brdId=Q006&amp;code=1204&amp;gId=&amp;gSite=Q&amp;id=cst00602" TargetMode="External"/><Relationship Id="rId5" Type="http://schemas.openxmlformats.org/officeDocument/2006/relationships/webSettings" Target="webSettings.xml"/><Relationship Id="rId15" Type="http://schemas.openxmlformats.org/officeDocument/2006/relationships/hyperlink" Target="https://doi.org/10.14702/jpee.2017.9.1.49" TargetMode="External"/><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5762/KAIS.2010.11.1.101" TargetMode="External"/><Relationship Id="rId22" Type="http://schemas.openxmlformats.org/officeDocument/2006/relationships/theme" Target="theme/theme1.xml"/><Relationship Id="rId90" Type="http://schemas.openxmlformats.org/officeDocument/2006/relationships/hyperlink" Target="https://doi.org/10.48550/arXiv.2401.0544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2</Pages>
  <Words>889</Words>
  <Characters>5072</Characters>
  <Application>Microsoft Office Word</Application>
  <DocSecurity>0</DocSecurity>
  <Lines>42</Lines>
  <Paragraphs>11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자동화설비 자격시험 공개문제 기반 AI PLC 실기·트러블슈팅 교육장비 설계</vt:lpstr>
      <vt:lpstr/>
    </vt:vector>
  </TitlesOfParts>
  <Manager/>
  <Company/>
  <LinksUpToDate>false</LinksUpToDate>
  <CharactersWithSpaces>5950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자동화설비 자격시험 공개문제 기반 AI PLC 실기·트러블슈팅 교육장비 설계</dc:title>
  <dc:subject>2026년 9월 16일 교수 피드백 반영</dc:subject>
  <dc:creator>도형준, 박수용</dc:creator>
  <cp:keywords>AI 교육장비, PLC, 자격시험 실습, 트러블슈팅, 과정평가</cp:keywords>
  <dc:description/>
  <cp:lastModifiedBy>도 형준</cp:lastModifiedBy>
  <cp:revision>15</cp:revision>
  <dcterms:created xsi:type="dcterms:W3CDTF">2013-12-23T23:15:00Z</dcterms:created>
  <dcterms:modified xsi:type="dcterms:W3CDTF">2026-09-21T00:52:00Z</dcterms:modified>
  <cp:category/>
</cp:coreProperties>
</file>