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NanumSquare" w:hAnsi="NanumSquare" w:eastAsia="NanumSquare"/>
          <w:b/>
          <w:color w:val="173A5E"/>
          <w:sz w:val="50"/>
        </w:rPr>
        <w:t>CATALOGGUARD LITE</w:t>
      </w:r>
    </w:p>
    <w:p>
      <w:pPr>
        <w:pStyle w:val="Subtitle"/>
        <w:spacing w:after="100"/>
      </w:pPr>
      <w:r>
        <w:rPr>
          <w:rFonts w:ascii="NanumSquare" w:hAnsi="NanumSquare" w:eastAsia="NanumSquare"/>
          <w:b/>
          <w:color w:val="2F6FA3"/>
          <w:sz w:val="27"/>
        </w:rPr>
        <w:t>Python·FastAPI 백엔드 / 패션·이커머스 데이터 품질 프로젝트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488"/>
            <w:shd w:fill="EAF4FA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nil"/>
              <w:left w:val="single" w:sz="18" w:color="2F6FA3"/>
              <w:bottom w:val="nil"/>
              <w:right w:val="nil"/>
            </w:tcBorders>
          </w:tcPr>
          <w:p>
            <w:pPr>
              <w:spacing w:after="40"/>
            </w:pPr>
            <w:r/>
            <w:r>
              <w:rPr>
                <w:rFonts w:ascii="NanumSquare" w:hAnsi="NanumSquare" w:eastAsia="NanumSquare"/>
                <w:b/>
                <w:color w:val="2E729B"/>
                <w:sz w:val="18"/>
              </w:rPr>
              <w:t>프로젝트 한 줄 소개</w:t>
            </w:r>
          </w:p>
          <w:p>
            <w:pPr>
              <w:spacing w:after="0" w:line="264" w:lineRule="auto"/>
            </w:pPr>
            <w:r/>
            <w:r>
              <w:rPr>
                <w:rFonts w:ascii="NanumSquare" w:hAnsi="NanumSquare" w:eastAsia="NanumSquare"/>
                <w:sz w:val="17"/>
              </w:rPr>
              <w:t>합성 공급사 CSV를 JSON 프로필로 표준화하고 PostgreSQL staging에 적재한 뒤, 검수 이력과 ETL 적재 이력을 FastAPI·Streamlit에서 제공하는 데이터 품질 백엔드 MVP입니다.</w:t>
            </w:r>
          </w:p>
        </w:tc>
      </w:tr>
    </w:tbl>
    <w:p>
      <w:pPr>
        <w:spacing w:after="0"/>
      </w:pPr>
    </w:p>
    <w:p>
      <w:pPr>
        <w:spacing w:after="40" w:line="269" w:lineRule="auto"/>
        <w:widowControl/>
      </w:pPr>
      <w:r>
        <w:rPr>
          <w:rFonts w:ascii="NanumSquare" w:hAnsi="NanumSquare" w:eastAsia="NanumSquare"/>
          <w:b/>
          <w:color w:val="173A5E"/>
          <w:sz w:val="23"/>
        </w:rPr>
        <w:t>프로젝트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1814"/>
            <w:shd w:fill="173A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391"/>
            <w:shd w:fill="173A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AF4FA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/>
                <w:color w:val="173A5E"/>
                <w:sz w:val="16"/>
              </w:rPr>
              <w:t>형태</w:t>
            </w:r>
          </w:p>
        </w:tc>
        <w:tc>
          <w:tcPr>
            <w:tcW w:type="dxa" w:w="83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202B36"/>
                <w:sz w:val="16"/>
              </w:rPr>
              <w:t>개인 프로젝트 · 취업 포트폴리오용 MVP 고도화 (2026.07 기준)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AF4FA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/>
                <w:color w:val="173A5E"/>
                <w:sz w:val="16"/>
              </w:rPr>
              <w:t>담당</w:t>
            </w:r>
          </w:p>
        </w:tc>
        <w:tc>
          <w:tcPr>
            <w:tcW w:type="dxa" w:w="83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202B36"/>
                <w:sz w:val="16"/>
              </w:rPr>
              <w:t>검수 규칙·FastAPI API·PostgreSQL·ETL·비동기 처리·테스트·CI·배포 검증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AF4FA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/>
                <w:color w:val="173A5E"/>
                <w:sz w:val="16"/>
              </w:rPr>
              <w:t>핵심 기술</w:t>
            </w:r>
          </w:p>
        </w:tc>
        <w:tc>
          <w:tcPr>
            <w:tcW w:type="dxa" w:w="83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202B36"/>
                <w:sz w:val="16"/>
              </w:rPr>
              <w:t>Python, FastAPI, PostgreSQL, SQLAlchemy, Alembic, pandas, Redis, Celery, Streamlit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AF4FA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/>
                <w:color w:val="173A5E"/>
                <w:sz w:val="16"/>
              </w:rPr>
              <w:t>운영·검증</w:t>
            </w:r>
          </w:p>
        </w:tc>
        <w:tc>
          <w:tcPr>
            <w:tcW w:type="dxa" w:w="83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202B36"/>
                <w:sz w:val="16"/>
              </w:rPr>
              <w:t>Docker Compose, GitHub Actions, Railway, AWS EC2·RDS staging</w:t>
            </w:r>
          </w:p>
        </w:tc>
      </w:tr>
    </w:tbl>
    <w:p>
      <w:pPr>
        <w:spacing w:after="0"/>
      </w:pPr>
    </w:p>
    <w:p>
      <w:pPr>
        <w:spacing w:after="40" w:line="269" w:lineRule="auto"/>
        <w:widowControl/>
      </w:pPr>
      <w:r>
        <w:rPr>
          <w:rFonts w:ascii="NanumSquare" w:hAnsi="NanumSquare" w:eastAsia="NanumSquare"/>
          <w:b/>
          <w:color w:val="173A5E"/>
          <w:sz w:val="23"/>
        </w:rPr>
        <w:t>핵심 성과</w:t>
      </w:r>
    </w:p>
    <w:p>
      <w:pPr>
        <w:pStyle w:val="BulletCompact"/>
        <w:ind w:left="255" w:hanging="159"/>
        <w:keepLines/>
        <w:widowControl/>
      </w:pPr>
      <w:r>
        <w:rPr>
          <w:rFonts w:ascii="NanumSquare" w:hAnsi="NanumSquare" w:eastAsia="NanumSquare"/>
          <w:b/>
          <w:color w:val="173A5E"/>
          <w:sz w:val="17"/>
        </w:rPr>
        <w:t>• 패션 상품 CSV의 필수값 누락·형식 오류·중복·가격 관계·카테고리 불일치·금지어·개인정보 의심 정보를 탐지하고, 색상·사이즈 정규화와 상품 그룹 단위 비교를 구현하였습니다.</w:t>
      </w:r>
      <w:r>
        <w:rPr>
          <w:rFonts w:ascii="NanumSquare" w:hAnsi="NanumSquare" w:eastAsia="NanumSquare"/>
          <w:color w:val="202B36"/>
          <w:sz w:val="17"/>
        </w:rPr>
      </w:r>
    </w:p>
    <w:p>
      <w:pPr>
        <w:pStyle w:val="BulletCompact"/>
        <w:ind w:left="255" w:hanging="159"/>
        <w:keepLines/>
        <w:widowControl/>
      </w:pPr>
      <w:r>
        <w:rPr>
          <w:rFonts w:ascii="NanumSquare" w:hAnsi="NanumSquare" w:eastAsia="NanumSquare"/>
          <w:b/>
          <w:color w:val="173A5E"/>
          <w:sz w:val="17"/>
        </w:rPr>
        <w:t>• FastAPI와 PostgreSQL로 검수 결과 저장·검색·상세 조회를 구현하고, SHA-256 파일 해시와 inspection_version 및 partial unique index로 동일 파일 재처리와 동시 요청 중복을 방어하였습니다.</w:t>
      </w:r>
      <w:r>
        <w:rPr>
          <w:rFonts w:ascii="NanumSquare" w:hAnsi="NanumSquare" w:eastAsia="NanumSquare"/>
          <w:color w:val="202B36"/>
          <w:sz w:val="17"/>
        </w:rPr>
      </w:r>
    </w:p>
    <w:p>
      <w:pPr>
        <w:pStyle w:val="BulletCompact"/>
        <w:ind w:left="255" w:hanging="159"/>
        <w:keepLines/>
        <w:widowControl/>
      </w:pPr>
      <w:r>
        <w:rPr>
          <w:rFonts w:ascii="NanumSquare" w:hAnsi="NanumSquare" w:eastAsia="NanumSquare"/>
          <w:b/>
          <w:color w:val="173A5E"/>
          <w:sz w:val="17"/>
        </w:rPr>
        <w:t>• 서로 다른 합성 공급사 CSV 2종을 JSON 매핑 프로필로 표준화하여 정상·reject·summary 파일을 생성하고, 공통 ETL 코드를 공급사별로 중복 구현하지 않았습니다.</w:t>
      </w:r>
      <w:r>
        <w:rPr>
          <w:rFonts w:ascii="NanumSquare" w:hAnsi="NanumSquare" w:eastAsia="NanumSquare"/>
          <w:color w:val="202B36"/>
          <w:sz w:val="17"/>
        </w:rPr>
      </w:r>
    </w:p>
    <w:p>
      <w:pPr>
        <w:pStyle w:val="BulletCompact"/>
        <w:ind w:left="255" w:hanging="159"/>
        <w:keepLines/>
        <w:widowControl/>
      </w:pPr>
      <w:r>
        <w:rPr>
          <w:rFonts w:ascii="NanumSquare" w:hAnsi="NanumSquare" w:eastAsia="NanumSquare"/>
          <w:b/>
          <w:color w:val="173A5E"/>
          <w:sz w:val="17"/>
        </w:rPr>
        <w:t>• 표준 CSV의 SHA-256과 행 수를 검증한 뒤 PostgreSQL staging에 트랜잭션으로 적재하고, 중복 배치 방지·rollback·CHECK constraint·Foreign Key·cascade를 검증하였습니다.</w:t>
      </w:r>
      <w:r>
        <w:rPr>
          <w:rFonts w:ascii="NanumSquare" w:hAnsi="NanumSquare" w:eastAsia="NanumSquare"/>
          <w:color w:val="202B36"/>
          <w:sz w:val="17"/>
        </w:rPr>
      </w:r>
    </w:p>
    <w:p>
      <w:pPr>
        <w:pStyle w:val="BulletCompact"/>
        <w:ind w:left="255" w:hanging="159"/>
        <w:keepLines/>
        <w:widowControl/>
      </w:pPr>
      <w:r>
        <w:rPr>
          <w:rFonts w:ascii="NanumSquare" w:hAnsi="NanumSquare" w:eastAsia="NanumSquare"/>
          <w:b/>
          <w:color w:val="173A5E"/>
          <w:sz w:val="17"/>
        </w:rPr>
        <w:t>• ETL 배치·상품 조회 API와 Streamlit 읽기 전용 이력 탭을 구현해 검색·SQL 페이지네이션·SHA-256·nullable·404·요청 ID를 제공했으며, 전체 920 passed와 GitHub Actions Test #38 성공을 확인하였습니다.</w:t>
      </w:r>
      <w:r>
        <w:rPr>
          <w:rFonts w:ascii="NanumSquare" w:hAnsi="NanumSquare" w:eastAsia="NanumSquare"/>
          <w:color w:val="202B36"/>
          <w:sz w:val="17"/>
        </w:rPr>
      </w:r>
    </w:p>
    <w:p>
      <w:pPr>
        <w:spacing w:after="40" w:line="269" w:lineRule="auto"/>
        <w:widowControl/>
      </w:pPr>
      <w:r>
        <w:rPr>
          <w:rFonts w:ascii="NanumSquare" w:hAnsi="NanumSquare" w:eastAsia="NanumSquare"/>
          <w:b/>
          <w:color w:val="173A5E"/>
          <w:sz w:val="23"/>
        </w:rPr>
        <w:t>검증된 현재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fill="EAF7F3"/>
            <w:tcMar>
              <w:top w:w="120" w:type="dxa"/>
              <w:start w:w="70" w:type="dxa"/>
              <w:bottom w:w="100" w:type="dxa"/>
              <w:end w:w="70" w:type="dxa"/>
            </w:tcMar>
            <w:tcBorders>
              <w:top w:val="single" w:sz="6" w:color="2D7F6E"/>
              <w:left w:val="single" w:sz="6" w:color="2D7F6E"/>
              <w:bottom w:val="single" w:sz="6" w:color="2D7F6E"/>
              <w:right w:val="single" w:sz="6" w:color="2D7F6E"/>
            </w:tcBorders>
          </w:tcPr>
          <w:p>
            <w:pPr>
              <w:spacing w:after="40"/>
              <w:jc w:val="center"/>
            </w:pPr>
            <w:r>
              <w:rPr>
                <w:rFonts w:ascii="NanumSquare" w:hAnsi="NanumSquare" w:eastAsia="NanumSquare"/>
                <w:b/>
                <w:color w:val="2D7F6E"/>
                <w:sz w:val="30"/>
              </w:rPr>
              <w:t>920 passed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6788A"/>
                <w:sz w:val="15"/>
              </w:rPr>
              <w:t>PostgreSQL 포함 전체 회귀</w:t>
            </w:r>
          </w:p>
        </w:tc>
        <w:tc>
          <w:tcPr>
            <w:tcW w:type="dxa" w:w="2622"/>
            <w:shd w:fill="EAF4FA"/>
            <w:tcMar>
              <w:top w:w="120" w:type="dxa"/>
              <w:start w:w="70" w:type="dxa"/>
              <w:bottom w:w="100" w:type="dxa"/>
              <w:end w:w="70" w:type="dxa"/>
            </w:tcMar>
            <w:tcBorders>
              <w:top w:val="single" w:sz="6" w:color="2F6FA3"/>
              <w:left w:val="single" w:sz="6" w:color="2F6FA3"/>
              <w:bottom w:val="single" w:sz="6" w:color="2F6FA3"/>
              <w:right w:val="single" w:sz="6" w:color="2F6FA3"/>
            </w:tcBorders>
          </w:tcPr>
          <w:p>
            <w:pPr>
              <w:spacing w:after="40"/>
              <w:jc w:val="center"/>
            </w:pPr>
            <w:r>
              <w:rPr>
                <w:rFonts w:ascii="NanumSquare" w:hAnsi="NanumSquare" w:eastAsia="NanumSquare"/>
                <w:b/>
                <w:color w:val="2F6FA3"/>
                <w:sz w:val="30"/>
              </w:rPr>
              <w:t>Test #38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6788A"/>
                <w:sz w:val="15"/>
              </w:rPr>
              <w:t>GitHub Actions success</w:t>
            </w:r>
          </w:p>
        </w:tc>
        <w:tc>
          <w:tcPr>
            <w:tcW w:type="dxa" w:w="2622"/>
            <w:shd w:fill="FFF3E8"/>
            <w:tcMar>
              <w:top w:w="120" w:type="dxa"/>
              <w:start w:w="70" w:type="dxa"/>
              <w:bottom w:w="100" w:type="dxa"/>
              <w:end w:w="70" w:type="dxa"/>
            </w:tcMar>
            <w:tcBorders>
              <w:top w:val="single" w:sz="6" w:color="C86F1A"/>
              <w:left w:val="single" w:sz="6" w:color="C86F1A"/>
              <w:bottom w:val="single" w:sz="6" w:color="C86F1A"/>
              <w:right w:val="single" w:sz="6" w:color="C86F1A"/>
            </w:tcBorders>
          </w:tcPr>
          <w:p>
            <w:pPr>
              <w:spacing w:after="40"/>
              <w:jc w:val="center"/>
            </w:pPr>
            <w:r>
              <w:rPr>
                <w:rFonts w:ascii="NanumSquare" w:hAnsi="NanumSquare" w:eastAsia="NanumSquare"/>
                <w:b/>
                <w:color w:val="C86F1A"/>
                <w:sz w:val="30"/>
              </w:rPr>
              <w:t>PostgreSQL 18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6788A"/>
                <w:sz w:val="15"/>
              </w:rPr>
              <w:t>통합 테스트 skip 0</w:t>
            </w:r>
          </w:p>
        </w:tc>
        <w:tc>
          <w:tcPr>
            <w:tcW w:type="dxa" w:w="2622"/>
            <w:shd w:fill="FCEEEF"/>
            <w:tcMar>
              <w:top w:w="120" w:type="dxa"/>
              <w:start w:w="70" w:type="dxa"/>
              <w:bottom w:w="100" w:type="dxa"/>
              <w:end w:w="70" w:type="dxa"/>
            </w:tcMar>
            <w:tcBorders>
              <w:top w:val="single" w:sz="6" w:color="B94A50"/>
              <w:left w:val="single" w:sz="6" w:color="B94A50"/>
              <w:bottom w:val="single" w:sz="6" w:color="B94A50"/>
              <w:right w:val="single" w:sz="6" w:color="B94A50"/>
            </w:tcBorders>
          </w:tcPr>
          <w:p>
            <w:pPr>
              <w:spacing w:after="40"/>
              <w:jc w:val="center"/>
            </w:pPr>
            <w:r>
              <w:rPr>
                <w:rFonts w:ascii="NanumSquare" w:hAnsi="NanumSquare" w:eastAsia="NanumSquare"/>
                <w:b/>
                <w:color w:val="B94A50"/>
                <w:sz w:val="30"/>
              </w:rPr>
              <w:t>E2E 1 passed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6788A"/>
                <w:sz w:val="15"/>
              </w:rPr>
              <w:t>비동기 흐름·Streamlit smoke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5244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EAF4FA"/>
          </w:tcPr>
          <w:p>
            <w:r>
              <w:rPr>
                <w:rFonts w:ascii="NanumSquare" w:hAnsi="NanumSquare" w:eastAsia="NanumSquare"/>
                <w:b/>
                <w:color w:val="2F6FA3"/>
                <w:sz w:val="18"/>
              </w:rPr>
              <w:t>주요 API·데이터 구조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POST /api/v1/inspections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GET /api/v1/inspections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GET /api/v1/etl-loads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GET /api/v1/etl-loads/{id}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etl_load_runs → catalog_products_staging (1:N)</w:t>
            </w:r>
          </w:p>
        </w:tc>
        <w:tc>
          <w:tcPr>
            <w:tcW w:type="dxa" w:w="5244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FF3E8"/>
          </w:tcPr>
          <w:p>
            <w:r>
              <w:rPr>
                <w:rFonts w:ascii="NanumSquare" w:hAnsi="NanumSquare" w:eastAsia="NanumSquare"/>
                <w:b/>
                <w:color w:val="C86F1A"/>
                <w:sz w:val="18"/>
              </w:rPr>
              <w:t>현재 범위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합성 공급사 프로필 2종·수동 선택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ETL 변환·staging 적재는 CLI 실행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Streamlit ETL 이력은 읽기 전용 조회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운영 상품 upsert·증분 ETL·브라우저 E2E 미구현</w:t>
            </w:r>
          </w:p>
        </w:tc>
      </w:tr>
    </w:tbl>
    <w:p>
      <w:pPr>
        <w:spacing w:after="0"/>
      </w:pPr>
    </w:p>
    <w:p>
      <w:pPr>
        <w:spacing w:before="40" w:after="0"/>
      </w:pPr>
      <w:r>
        <w:rPr>
          <w:rFonts w:ascii="NanumSquare" w:hAnsi="NanumSquare" w:eastAsia="NanumSquare"/>
          <w:b/>
          <w:color w:val="173A5E"/>
          <w:sz w:val="17"/>
        </w:rPr>
        <w:t xml:space="preserve">GitHub  </w:t>
      </w:r>
      <w:hyperlink r:id="rId11">
        <w:r>
          <w:rPr>
            <w:rFonts w:ascii="NanumSquare" w:hAnsi="NanumSquare" w:eastAsia="NanumSquare"/>
            <w:color w:val="2F6FA3"/>
            <w:u w:val="single"/>
            <w:sz w:val="17"/>
          </w:rPr>
          <w:t>psy0635-ctrl/catalogguard-lite</w:t>
        </w:r>
      </w:hyperlink>
      <w:r>
        <w:rPr>
          <w:rFonts w:ascii="NanumSquare" w:hAnsi="NanumSquare" w:eastAsia="NanumSquare"/>
          <w:b/>
          <w:color w:val="173A5E"/>
          <w:sz w:val="17"/>
        </w:rPr>
        <w:t xml:space="preserve">    Demo  </w:t>
      </w:r>
      <w:hyperlink r:id="rId12">
        <w:r>
          <w:rPr>
            <w:rFonts w:ascii="NanumSquare" w:hAnsi="NanumSquare" w:eastAsia="NanumSquare"/>
            <w:color w:val="2F6FA3"/>
            <w:u w:val="single"/>
            <w:sz w:val="17"/>
          </w:rPr>
          <w:t>CatalogGuard Lite Streamlit 앱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624" w:right="709" w:bottom="567" w:left="709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6788A"/>
        <w:sz w:val="15"/>
      </w:rPr>
      <w:t>CatalogGuard Lite | 2026.07 기준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6788A"/>
        <w:sz w:val="15"/>
      </w:rPr>
      <w:t>박수용 | Python·FastAPI 백엔드 프로젝트 이력서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1" w:lineRule="auto"/>
    </w:pPr>
    <w:rPr>
      <w:rFonts w:ascii="NanumSquare" w:hAnsi="NanumSquare" w:eastAsia="NanumSquare"/>
      <w:color w:val="202B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4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F6FA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A5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NanumSquare" w:hAnsi="NanumSquare" w:eastAsia="NanumSquare"/>
      <w:b/>
      <w:i/>
      <w:iCs/>
      <w:color w:val="2F6FA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40" w:line="252" w:lineRule="auto"/>
    </w:pPr>
    <w:rPr>
      <w:rFonts w:ascii="NanumSquare" w:hAnsi="NanumSquare" w:eastAsia="NanumSquare"/>
      <w:color w:val="66788A"/>
      <w:sz w:val="15"/>
    </w:rPr>
  </w:style>
  <w:style w:type="paragraph" w:customStyle="1" w:styleId="BulletCompact">
    <w:name w:val="Bullet Compact"/>
    <w:basedOn w:val="Normal"/>
    <w:pPr>
      <w:spacing w:after="40" w:line="259" w:lineRule="auto"/>
      <w:ind w:left="255" w:hanging="159"/>
    </w:pPr>
    <w:rPr>
      <w:rFonts w:ascii="NanumSquare" w:hAnsi="NanumSquare" w:eastAsia="NanumSquar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sy0635-ctrl/catalogguard-lite" TargetMode="External"/><Relationship Id="rId12" Type="http://schemas.openxmlformats.org/officeDocument/2006/relationships/hyperlink" Target="https://catalogguard-lite-p6jtwmdhwqcapphpghfzduo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프로젝트 이력서</dc:title>
  <dc:subject>Python FastAPI 백엔드 및 데이터 품질 프로젝트</dc:subject>
  <dc:creator>박수용</dc:creator>
  <cp:keywords/>
  <dc:description>generated by python-docx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