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 w:line="240" w:lineRule="auto"/>
        <w:widowControl/>
      </w:pPr>
      <w:r>
        <w:rPr>
          <w:rFonts w:ascii="NanumSquare" w:hAnsi="NanumSquare" w:eastAsia="NanumSquare"/>
          <w:b/>
          <w:color w:val="1F4E79"/>
          <w:sz w:val="54"/>
        </w:rPr>
        <w:t>CatalogGuard Lite</w:t>
      </w:r>
    </w:p>
    <w:p>
      <w:pPr>
        <w:spacing w:before="0" w:after="180" w:line="240" w:lineRule="auto"/>
        <w:widowControl/>
      </w:pPr>
      <w:r>
        <w:rPr>
          <w:rFonts w:ascii="NanumSquare" w:hAnsi="NanumSquare" w:eastAsia="NanumSquare"/>
          <w:b/>
          <w:color w:val="263442"/>
          <w:sz w:val="26"/>
        </w:rPr>
        <w:t>패션·이커머스 상품 데이터 품질 검수 및 안전한 운영 반영 백엔드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0"/>
      </w:tblGrid>
      <w:tr>
        <w:tc>
          <w:tcPr>
            <w:tcW w:type="dxa" w:w="14740"/>
            <w:shd w:fill="EAF2F8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  <w:insideH w:val="single" w:sz="8" w:space="0" w:color="2E75B6"/>
              <w:insideV w:val="single" w:sz="8" w:space="0" w:color="2E75B6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anumSquare" w:hAnsi="NanumSquare" w:eastAsia="NanumSquare"/>
                <w:b/>
                <w:color w:val="2E75B6"/>
                <w:sz w:val="18"/>
              </w:rPr>
              <w:t xml:space="preserve">한 줄 소개  </w:t>
            </w:r>
            <w:r>
              <w:rPr>
                <w:rFonts w:ascii="NanumSquare" w:hAnsi="NanumSquare" w:eastAsia="NanumSquare"/>
                <w:b w:val="0"/>
                <w:color w:val="263442"/>
                <w:sz w:val="18"/>
              </w:rPr>
              <w:t>서로 다른 공급사 CSV를 JSON Profile로 표준화·검수하고 PostgreSQL staging에 적재한 뒤, Preview·승인·Audit·Rollback으로 운영 상품 변경을 보호한 Python/FastAPI 개인 프로젝트입니다.</w:t>
            </w:r>
          </w:p>
        </w:tc>
      </w:tr>
    </w:tbl>
    <w:p>
      <w:pPr>
        <w:spacing w:before="0" w:after="12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685"/>
        <w:gridCol w:w="3685"/>
        <w:gridCol w:w="3685"/>
      </w:tblGrid>
      <w:tr>
        <w:tc>
          <w:tcPr>
            <w:tcW w:type="dxa" w:w="3685"/>
            <w:shd w:fill="EAF2F8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  <w:insideH w:val="single" w:sz="8" w:space="0" w:color="2E75B6"/>
              <w:insideV w:val="single" w:sz="8" w:space="0" w:color="2E75B6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E75B6"/>
                <w:sz w:val="25"/>
              </w:rPr>
              <w:t>1923 passed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전체 pytest 회귀 기준</w:t>
            </w:r>
          </w:p>
        </w:tc>
        <w:tc>
          <w:tcPr>
            <w:tcW w:type="dxa" w:w="3685"/>
            <w:shd w:fill="EAF5F1"/>
            <w:tcBorders>
              <w:top w:val="single" w:sz="8" w:space="0" w:color="2B7A67"/>
              <w:left w:val="single" w:sz="8" w:space="0" w:color="2B7A67"/>
              <w:bottom w:val="single" w:sz="8" w:space="0" w:color="2B7A67"/>
              <w:right w:val="single" w:sz="8" w:space="0" w:color="2B7A67"/>
              <w:insideH w:val="single" w:sz="8" w:space="0" w:color="2B7A67"/>
              <w:insideV w:val="single" w:sz="8" w:space="0" w:color="2B7A67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B7A67"/>
                <w:sz w:val="25"/>
              </w:rPr>
              <w:t>5 / 5 CI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test · browser-e2e · K8s · Terraform · Airflow</w:t>
            </w:r>
          </w:p>
        </w:tc>
        <w:tc>
          <w:tcPr>
            <w:tcW w:type="dxa" w:w="3685"/>
            <w:shd w:fill="FCF0E5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  <w:insideH w:val="single" w:sz="8" w:space="0" w:color="C55A11"/>
              <w:insideV w:val="single" w:sz="8" w:space="0" w:color="C55A1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C55A11"/>
                <w:sz w:val="25"/>
              </w:rPr>
              <w:t>2 Chromium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Reject + Promotion/Rollback 실제 브라우저 E2E</w:t>
            </w:r>
          </w:p>
        </w:tc>
        <w:tc>
          <w:tcPr>
            <w:tcW w:type="dxa" w:w="3685"/>
            <w:shd w:fill="FBECEE"/>
            <w:tcBorders>
              <w:top w:val="single" w:sz="8" w:space="0" w:color="B94A48"/>
              <w:left w:val="single" w:sz="8" w:space="0" w:color="B94A48"/>
              <w:bottom w:val="single" w:sz="8" w:space="0" w:color="B94A48"/>
              <w:right w:val="single" w:sz="8" w:space="0" w:color="B94A48"/>
              <w:insideH w:val="single" w:sz="8" w:space="0" w:color="B94A48"/>
              <w:insideV w:val="single" w:sz="8" w:space="0" w:color="B94A48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B94A48"/>
                <w:sz w:val="25"/>
              </w:rPr>
              <w:t>v13 / v2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Inspection / ETL Profile 버전</w:t>
            </w:r>
          </w:p>
        </w:tc>
      </w:tr>
    </w:tbl>
    <w:p>
      <w:pPr>
        <w:spacing w:before="0" w:after="100" w:line="240" w:lineRule="auto"/>
        <w:widowControl/>
      </w:pPr>
    </w:p>
    <w:p>
      <w:pPr>
        <w:spacing w:before="0" w:after="100" w:line="240" w:lineRule="auto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91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1F4E79"/>
          <w:sz w:val="24"/>
        </w:rPr>
        <w:t>프로젝트에서 해결한 핵심 문제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370"/>
      </w:tblGrid>
      <w:tr>
        <w:trPr>
          <w:tblHeader w:val="true"/>
        </w:trPr>
        <w:tc>
          <w:tcPr>
            <w:tcW w:type="dxa" w:w="459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문제</w:t>
            </w:r>
          </w:p>
        </w:tc>
        <w:tc>
          <w:tcPr>
            <w:tcW w:type="dxa" w:w="1014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해결</w:t>
            </w:r>
          </w:p>
        </w:tc>
      </w:tr>
      <w:tr>
        <w:tc>
          <w:tcPr>
            <w:tcW w:type="dxa" w:w="459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6"/>
              </w:rPr>
              <w:t>공급사마다 다른 CSV 구조</w:t>
            </w:r>
          </w:p>
        </w:tc>
        <w:tc>
          <w:tcPr>
            <w:tcW w:type="dxa" w:w="1014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6"/>
              </w:rPr>
              <w:t>JSON Profile + 공통 ETL Core로 표준 스키마 변환</w:t>
            </w:r>
          </w:p>
        </w:tc>
      </w:tr>
      <w:tr>
        <w:tc>
          <w:tcPr>
            <w:tcW w:type="dxa" w:w="459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6"/>
              </w:rPr>
              <w:t>잘못된 상품의 운영 유입</w:t>
            </w:r>
          </w:p>
        </w:tc>
        <w:tc>
          <w:tcPr>
            <w:tcW w:type="dxa" w:w="1014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6"/>
              </w:rPr>
              <w:t>규칙 기반 검수 후 normal / reject 분리, staging 선적재</w:t>
            </w:r>
          </w:p>
        </w:tc>
      </w:tr>
      <w:tr>
        <w:tc>
          <w:tcPr>
            <w:tcW w:type="dxa" w:w="459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6"/>
              </w:rPr>
              <w:t>운영 반영 실수</w:t>
            </w:r>
          </w:p>
        </w:tc>
        <w:tc>
          <w:tcPr>
            <w:tcW w:type="dxa" w:w="1014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6"/>
              </w:rPr>
              <w:t>Preview → 사용자 승인 → Hash 재검증 → Transaction Promotion</w:t>
            </w:r>
          </w:p>
        </w:tc>
      </w:tr>
      <w:tr>
        <w:tc>
          <w:tcPr>
            <w:tcW w:type="dxa" w:w="459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6"/>
              </w:rPr>
              <w:t>반영 후 문제 발생</w:t>
            </w:r>
          </w:p>
        </w:tc>
        <w:tc>
          <w:tcPr>
            <w:tcW w:type="dxa" w:w="1014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6"/>
              </w:rPr>
              <w:t>현재 상태 충돌 검사 후 Rollback, 실행/상품 단위 Audit 기록</w:t>
            </w:r>
          </w:p>
        </w:tc>
      </w:tr>
    </w:tbl>
    <w:p>
      <w:pPr>
        <w:spacing w:before="80" w:after="0" w:line="240" w:lineRule="auto"/>
        <w:widowControl/>
      </w:pPr>
      <w:r>
        <w:rPr>
          <w:rFonts w:ascii="NanumSquare" w:hAnsi="NanumSquare" w:eastAsia="NanumSquare"/>
          <w:b/>
          <w:color w:val="2E75B6"/>
          <w:sz w:val="16"/>
        </w:rPr>
        <w:t xml:space="preserve">GitHub  </w:t>
      </w:r>
      <w:r>
        <w:rPr>
          <w:rFonts w:ascii="NanumSquare" w:hAnsi="NanumSquare" w:eastAsia="NanumSquare"/>
          <w:b w:val="0"/>
          <w:color w:val="263442"/>
          <w:sz w:val="16"/>
        </w:rPr>
        <w:t>psy0635-ctrl/catalogguard-lite</w:t>
      </w:r>
      <w:r>
        <w:rPr>
          <w:rFonts w:ascii="NanumSquare" w:hAnsi="NanumSquare" w:eastAsia="NanumSquare"/>
          <w:b w:val="0"/>
          <w:color w:val="657789"/>
          <w:sz w:val="16"/>
        </w:rPr>
        <w:t xml:space="preserve">   ·   기준일 2026-08-17</w:t>
      </w:r>
    </w:p>
    <w:p>
      <w:pPr>
        <w:widowControl/>
      </w:pPr>
      <w:r>
        <w:br w:type="page"/>
      </w:r>
    </w:p>
    <w:p>
      <w:pPr>
        <w:spacing w:before="0" w:after="60" w:line="240" w:lineRule="auto"/>
        <w:keepNext/>
        <w:widowControl/>
      </w:pPr>
      <w:r>
        <w:rPr>
          <w:rFonts w:ascii="NanumSquare" w:hAnsi="NanumSquare" w:eastAsia="NanumSquare"/>
          <w:b/>
          <w:color w:val="2E75B6"/>
          <w:sz w:val="36"/>
        </w:rPr>
        <w:t xml:space="preserve">1. </w:t>
      </w:r>
      <w:r>
        <w:rPr>
          <w:rFonts w:ascii="NanumSquare" w:hAnsi="NanumSquare" w:eastAsia="NanumSquare"/>
          <w:b/>
          <w:color w:val="1F4E79"/>
          <w:sz w:val="36"/>
        </w:rPr>
        <w:t>시스템 구조와 설계 원칙</w:t>
      </w:r>
    </w:p>
    <w:p>
      <w:pPr>
        <w:spacing w:before="0" w:after="160" w:line="276" w:lineRule="auto"/>
        <w:keepNext/>
        <w:widowControl/>
      </w:pPr>
      <w:r>
        <w:rPr>
          <w:rFonts w:ascii="NanumSquare" w:hAnsi="NanumSquare" w:eastAsia="NanumSquare"/>
          <w:b w:val="0"/>
          <w:color w:val="657789"/>
          <w:sz w:val="18"/>
        </w:rPr>
        <w:t>화면에서 DB를 직접 수정하지 않고, 인증·API·Service/Query·DB의 책임과 트랜잭션 경계를 분리했습니다.</w:t>
      </w:r>
    </w:p>
    <w:p>
      <w:pPr>
        <w:spacing w:before="0" w:after="100" w:line="240" w:lineRule="auto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9180000" cy="32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32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2B7A67"/>
          <w:sz w:val="23"/>
        </w:rPr>
        <w:t>계층별 책임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3"/>
        <w:gridCol w:w="4913"/>
        <w:gridCol w:w="4913"/>
      </w:tblGrid>
      <w:tr>
        <w:trPr>
          <w:tblHeader w:val="true"/>
        </w:trPr>
        <w:tc>
          <w:tcPr>
            <w:tcW w:type="dxa" w:w="2494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계층</w:t>
            </w:r>
          </w:p>
        </w:tc>
        <w:tc>
          <w:tcPr>
            <w:tcW w:type="dxa" w:w="5613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역할</w:t>
            </w:r>
          </w:p>
        </w:tc>
        <w:tc>
          <w:tcPr>
            <w:tcW w:type="dxa" w:w="6633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설계 판단</w:t>
            </w:r>
          </w:p>
        </w:tc>
      </w:tr>
      <w:tr>
        <w:tc>
          <w:tcPr>
            <w:tcW w:type="dxa" w:w="2494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Streamlit</w:t>
            </w:r>
          </w:p>
        </w:tc>
        <w:tc>
          <w:tcPr>
            <w:tcW w:type="dxa" w:w="561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로그인, 검수/ETL/Promotion/Rollback UI</w:t>
            </w:r>
          </w:p>
        </w:tc>
        <w:tc>
          <w:tcPr>
            <w:tcW w:type="dxa" w:w="663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DB 직접 접근 없이 API Client만 사용</w:t>
            </w:r>
          </w:p>
        </w:tc>
      </w:tr>
      <w:tr>
        <w:tc>
          <w:tcPr>
            <w:tcW w:type="dxa" w:w="2494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FastAPI</w:t>
            </w:r>
          </w:p>
        </w:tc>
        <w:tc>
          <w:tcPr>
            <w:tcW w:type="dxa" w:w="561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Auth/RBAC, 검수, ETL, Promotion/Rollback API</w:t>
            </w:r>
          </w:p>
        </w:tc>
        <w:tc>
          <w:tcPr>
            <w:tcW w:type="dxa" w:w="663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JWT와 현재 사용자 상태를 서버에서 최종 검증</w:t>
            </w:r>
          </w:p>
        </w:tc>
      </w:tr>
      <w:tr>
        <w:tc>
          <w:tcPr>
            <w:tcW w:type="dxa" w:w="2494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Service / Query</w:t>
            </w:r>
          </w:p>
        </w:tc>
        <w:tc>
          <w:tcPr>
            <w:tcW w:type="dxa" w:w="561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쓰기 트랜잭션 / 읽기 전용 조회</w:t>
            </w:r>
          </w:p>
        </w:tc>
        <w:tc>
          <w:tcPr>
            <w:tcW w:type="dxa" w:w="663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transaction owner를 Service로 단일화</w:t>
            </w:r>
          </w:p>
        </w:tc>
      </w:tr>
      <w:tr>
        <w:tc>
          <w:tcPr>
            <w:tcW w:type="dxa" w:w="2494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Redis · Celery</w:t>
            </w:r>
          </w:p>
        </w:tc>
        <w:tc>
          <w:tcPr>
            <w:tcW w:type="dxa" w:w="561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비동기 검수 작업 상태와 Worker</w:t>
            </w:r>
          </w:p>
        </w:tc>
        <w:tc>
          <w:tcPr>
            <w:tcW w:type="dxa" w:w="663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긴 검수를 HTTP 요청 수명과 분리</w:t>
            </w:r>
          </w:p>
        </w:tc>
      </w:tr>
      <w:tr>
        <w:tc>
          <w:tcPr>
            <w:tcW w:type="dxa" w:w="2494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PostgreSQL</w:t>
            </w:r>
          </w:p>
        </w:tc>
        <w:tc>
          <w:tcPr>
            <w:tcW w:type="dxa" w:w="561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검수·staging·운영상품·Run·Audit 저장</w:t>
            </w:r>
          </w:p>
        </w:tc>
        <w:tc>
          <w:tcPr>
            <w:tcW w:type="dxa" w:w="663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constraint·unique·FK·transaction으로 무결성 보강</w:t>
            </w:r>
          </w:p>
        </w:tc>
      </w:tr>
    </w:tbl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1F4E79"/>
          <w:sz w:val="23"/>
        </w:rPr>
        <w:t>핵심 설계 원칙</w:t>
      </w:r>
    </w:p>
    <w:p>
      <w:pPr>
        <w:pStyle w:val="ListBullet"/>
        <w:spacing w:before="0" w:after="32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단일 검수 기준: 검수 규칙은 FastAPI 서비스에서 한 번 실행하고 UI는 저장된 결과를 표시해 이중 구현을 피했습니다.</w:t>
      </w:r>
    </w:p>
    <w:p>
      <w:pPr>
        <w:pStyle w:val="ListBullet"/>
        <w:spacing w:before="0" w:after="32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권한 경계: UI의 버튼 비활성화는 편의 기능이고, 실제 쓰기 권한은 FastAPI가 viewer/operator RBAC로 401/403을 강제합니다.</w:t>
      </w:r>
    </w:p>
    <w:p>
      <w:pPr>
        <w:pStyle w:val="ListBullet"/>
        <w:spacing w:before="0" w:after="32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읽기/쓰기 분리: 조회 전용 Query와 쓰기 Service를 나눠 N+1·pagination과 transaction 책임을 분명히 했습니다.</w:t>
      </w:r>
    </w:p>
    <w:p>
      <w:pPr>
        <w:pStyle w:val="ListBullet"/>
        <w:spacing w:before="0" w:after="32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공통 Core 재사용: Web/CLI/S3/configured HTTP feed가 같은 ETL 변환·적재 로직을 재사용합니다.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0"/>
      </w:tblGrid>
      <w:tr>
        <w:tc>
          <w:tcPr>
            <w:tcW w:type="dxa" w:w="14740"/>
            <w:shd w:fill="EAF5F1"/>
            <w:tcBorders>
              <w:top w:val="single" w:sz="8" w:space="0" w:color="2B7A67"/>
              <w:left w:val="single" w:sz="8" w:space="0" w:color="2B7A67"/>
              <w:bottom w:val="single" w:sz="8" w:space="0" w:color="2B7A67"/>
              <w:right w:val="single" w:sz="8" w:space="0" w:color="2B7A67"/>
              <w:insideH w:val="single" w:sz="8" w:space="0" w:color="2B7A67"/>
              <w:insideV w:val="single" w:sz="8" w:space="0" w:color="2B7A6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anumSquare" w:hAnsi="NanumSquare" w:eastAsia="NanumSquare"/>
                <w:b/>
                <w:color w:val="2B7A67"/>
                <w:sz w:val="18"/>
              </w:rPr>
              <w:t xml:space="preserve">왜 이 구조인가?  </w:t>
            </w:r>
            <w:r>
              <w:rPr>
                <w:rFonts w:ascii="NanumSquare" w:hAnsi="NanumSquare" w:eastAsia="NanumSquare"/>
                <w:b w:val="0"/>
                <w:color w:val="263442"/>
                <w:sz w:val="18"/>
              </w:rPr>
              <w:t>기능을 많이 붙이기보다 “검수되지 않은 데이터가 운영 DB를 직접 바꾸지 않게 한다”는 안전 경계를 코드 구조와 DB 트랜잭션으로 유지하는 것을 우선했습니다.</w:t>
            </w:r>
          </w:p>
        </w:tc>
      </w:tr>
    </w:tbl>
    <w:p>
      <w:pPr>
        <w:widowControl/>
      </w:pPr>
      <w:r>
        <w:br w:type="page"/>
      </w:r>
    </w:p>
    <w:p>
      <w:pPr>
        <w:spacing w:before="0" w:after="60" w:line="240" w:lineRule="auto"/>
        <w:keepNext/>
        <w:widowControl/>
      </w:pPr>
      <w:r>
        <w:rPr>
          <w:rFonts w:ascii="NanumSquare" w:hAnsi="NanumSquare" w:eastAsia="NanumSquare"/>
          <w:b/>
          <w:color w:val="2E75B6"/>
          <w:sz w:val="36"/>
        </w:rPr>
        <w:t xml:space="preserve">2. </w:t>
      </w:r>
      <w:r>
        <w:rPr>
          <w:rFonts w:ascii="NanumSquare" w:hAnsi="NanumSquare" w:eastAsia="NanumSquare"/>
          <w:b/>
          <w:color w:val="1F4E79"/>
          <w:sz w:val="36"/>
        </w:rPr>
        <w:t>상품 데이터 품질 검수와 공통 ETL</w:t>
      </w:r>
    </w:p>
    <w:p>
      <w:pPr>
        <w:spacing w:before="0" w:after="160" w:line="276" w:lineRule="auto"/>
        <w:keepNext/>
        <w:widowControl/>
      </w:pPr>
      <w:r>
        <w:rPr>
          <w:rFonts w:ascii="NanumSquare" w:hAnsi="NanumSquare" w:eastAsia="NanumSquare"/>
          <w:b w:val="0"/>
          <w:color w:val="657789"/>
          <w:sz w:val="18"/>
        </w:rPr>
        <w:t>패션 도메인 규칙과 공급사별 구조 차이를 하나의 표준화·검수 흐름으로 연결했습니다.</w:t>
      </w:r>
    </w:p>
    <w:p>
      <w:pPr>
        <w:spacing w:before="0" w:after="100" w:line="240" w:lineRule="auto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9180000" cy="1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2B7A67"/>
          <w:sz w:val="23"/>
        </w:rPr>
        <w:t>검수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3"/>
        <w:gridCol w:w="4913"/>
        <w:gridCol w:w="4913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분류</w:t>
            </w:r>
          </w:p>
        </w:tc>
        <w:tc>
          <w:tcPr>
            <w:tcW w:type="dxa" w:w="7483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검수 내용</w:t>
            </w:r>
          </w:p>
        </w:tc>
        <w:tc>
          <w:tcPr>
            <w:tcW w:type="dxa" w:w="4989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예시</w:t>
            </w:r>
          </w:p>
        </w:tc>
      </w:tr>
      <w:tr>
        <w:tc>
          <w:tcPr>
            <w:tcW w:type="dxa" w:w="226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입력·형식</w:t>
            </w:r>
          </w:p>
        </w:tc>
        <w:tc>
          <w:tcPr>
            <w:tcW w:type="dxa" w:w="748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필수값, category·stock·price·sale_price</w:t>
            </w:r>
          </w:p>
        </w:tc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price="가격문의" → 오류</w:t>
            </w:r>
          </w:p>
        </w:tc>
      </w:tr>
      <w:tr>
        <w:tc>
          <w:tcPr>
            <w:tcW w:type="dxa" w:w="226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중복</w:t>
            </w:r>
          </w:p>
        </w:tc>
        <w:tc>
          <w:tcPr>
            <w:tcW w:type="dxa" w:w="748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상품 ID, 상품명 후보, 완전 중복</w:t>
            </w:r>
          </w:p>
        </w:tc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동일 ID/동일 속성 중복</w:t>
            </w:r>
          </w:p>
        </w:tc>
      </w:tr>
      <w:tr>
        <w:tc>
          <w:tcPr>
            <w:tcW w:type="dxa" w:w="226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패션 옵션</w:t>
            </w:r>
          </w:p>
        </w:tc>
        <w:tc>
          <w:tcPr>
            <w:tcW w:type="dxa" w:w="748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색상·사이즈 표준화, variant 중복</w:t>
            </w:r>
          </w:p>
        </w:tc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블랙→BLACK, medium→M</w:t>
            </w:r>
          </w:p>
        </w:tc>
      </w:tr>
      <w:tr>
        <w:tc>
          <w:tcPr>
            <w:tcW w:type="dxa" w:w="226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그룹 관계</w:t>
            </w:r>
          </w:p>
        </w:tc>
        <w:tc>
          <w:tcPr>
            <w:tcW w:type="dxa" w:w="748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product_group_id 내부 카테고리 일관성</w:t>
            </w:r>
          </w:p>
        </w:tc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TOP과 BOTTOM이 같은 그룹</w:t>
            </w:r>
          </w:p>
        </w:tc>
      </w:tr>
      <w:tr>
        <w:tc>
          <w:tcPr>
            <w:tcW w:type="dxa" w:w="226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가격</w:t>
            </w:r>
          </w:p>
        </w:tc>
        <w:tc>
          <w:tcPr>
            <w:tcW w:type="dxa" w:w="748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0 이하, 정상가/할인가 관계, 카테고리 이상치</w:t>
            </w:r>
          </w:p>
        </w:tc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sale_price &gt; price</w:t>
            </w:r>
          </w:p>
        </w:tc>
      </w:tr>
      <w:tr>
        <w:tc>
          <w:tcPr>
            <w:tcW w:type="dxa" w:w="226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내용·보안</w:t>
            </w:r>
          </w:p>
        </w:tc>
        <w:tc>
          <w:tcPr>
            <w:tcW w:type="dxa" w:w="748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상품명-카테고리, 금지어, 개인정보 의심</w:t>
            </w:r>
          </w:p>
        </w:tc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설명에 이메일·전화번호</w:t>
            </w:r>
          </w:p>
        </w:tc>
      </w:tr>
    </w:tbl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1F4E79"/>
          <w:sz w:val="23"/>
        </w:rPr>
        <w:t>공급사 Profile과 staging 안전장치</w:t>
      </w:r>
    </w:p>
    <w:p>
      <w:pPr>
        <w:pStyle w:val="ListBullet"/>
        <w:spacing w:before="0" w:after="32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공급사별 컬럼명은 JSON Profile로 표준 필드에 매핑해 변환 코드를 공급사마다 복제하지 않았습니다.</w:t>
      </w:r>
    </w:p>
    <w:p>
      <w:pPr>
        <w:pStyle w:val="ListBullet"/>
        <w:spacing w:before="0" w:after="32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정상 행만 PostgreSQL staging에 적재하고 reject·summary·SHA-256을 함께 관리합니다.</w:t>
      </w:r>
    </w:p>
    <w:p>
      <w:pPr>
        <w:pStyle w:val="ListBullet"/>
        <w:spacing w:before="0" w:after="32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동일 input hash + profile + version은 기존 batch를 재사용해 중복 적재를 방지합니다.</w:t>
      </w:r>
    </w:p>
    <w:p>
      <w:pPr>
        <w:pStyle w:val="ListBullet"/>
        <w:spacing w:before="0" w:after="32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Source Lineage는 upload / s3 / http_feed / cli / unknown을 기록하되 URL token·bucket 같은 민감한 원문은 저장하지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0"/>
      </w:tblGrid>
      <w:tr>
        <w:tc>
          <w:tcPr>
            <w:tcW w:type="dxa" w:w="14740"/>
            <w:shd w:fill="FCF0E5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  <w:insideH w:val="single" w:sz="8" w:space="0" w:color="C55A11"/>
              <w:insideV w:val="single" w:sz="8" w:space="0" w:color="C55A11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anumSquare" w:hAnsi="NanumSquare" w:eastAsia="NanumSquare"/>
                <w:b/>
                <w:color w:val="C55A11"/>
                <w:sz w:val="18"/>
              </w:rPr>
              <w:t xml:space="preserve">패션 size 정책  </w:t>
            </w:r>
            <w:r>
              <w:rPr>
                <w:rFonts w:ascii="NanumSquare" w:hAnsi="NanumSquare" w:eastAsia="NanumSquare"/>
                <w:b w:val="0"/>
                <w:color w:val="263442"/>
                <w:sz w:val="18"/>
              </w:rPr>
              <w:t>TOP/BOTTOM/OUTER/SHOES는 size 필수, BAG은 선택입니다. BAG의 빈 값과 FREE는 모두 허용하지만 서로 다른 값으로 유지합니다. 사전에 없는 size는 그 값만으로 오류/주의를 만들지 않으며 fuzzy matching을 사용하지 않습니다.</w:t>
            </w:r>
          </w:p>
        </w:tc>
      </w:tr>
    </w:tbl>
    <w:p>
      <w:pPr>
        <w:widowControl/>
      </w:pPr>
      <w:r>
        <w:br w:type="page"/>
      </w:r>
    </w:p>
    <w:p>
      <w:pPr>
        <w:spacing w:before="0" w:after="60" w:line="240" w:lineRule="auto"/>
        <w:keepNext/>
        <w:widowControl/>
      </w:pPr>
      <w:r>
        <w:rPr>
          <w:rFonts w:ascii="NanumSquare" w:hAnsi="NanumSquare" w:eastAsia="NanumSquare"/>
          <w:b/>
          <w:color w:val="2E75B6"/>
          <w:sz w:val="36"/>
        </w:rPr>
        <w:t xml:space="preserve">3. </w:t>
      </w:r>
      <w:r>
        <w:rPr>
          <w:rFonts w:ascii="NanumSquare" w:hAnsi="NanumSquare" w:eastAsia="NanumSquare"/>
          <w:b/>
          <w:color w:val="1F4E79"/>
          <w:sz w:val="36"/>
        </w:rPr>
        <w:t>Promotion과 Rollback - 운영 변경 보호</w:t>
      </w:r>
    </w:p>
    <w:p>
      <w:pPr>
        <w:spacing w:before="0" w:after="160" w:line="276" w:lineRule="auto"/>
        <w:keepNext/>
        <w:widowControl/>
      </w:pPr>
      <w:r>
        <w:rPr>
          <w:rFonts w:ascii="NanumSquare" w:hAnsi="NanumSquare" w:eastAsia="NanumSquare"/>
          <w:b w:val="0"/>
          <w:color w:val="657789"/>
          <w:sz w:val="18"/>
        </w:rPr>
        <w:t>staging 데이터를 바로 운영에 반영하지 않고 미리보기·명시적 승인·Hash 재검증·트랜잭션·Audit을 거치도록 설계했습니다.</w:t>
      </w:r>
    </w:p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1F4E79"/>
          <w:sz w:val="23"/>
        </w:rPr>
        <w:t>Promotion: 반영 전에 “무엇이 바뀌는지” 확인</w:t>
      </w:r>
    </w:p>
    <w:p>
      <w:pPr>
        <w:spacing w:before="0" w:after="40" w:line="240" w:lineRule="auto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8460000" cy="1492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929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370"/>
      </w:tblGrid>
      <w:tr>
        <w:trPr>
          <w:tblHeader w:val="true"/>
        </w:trPr>
        <w:tc>
          <w:tcPr>
            <w:tcW w:type="dxa" w:w="4989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위험</w:t>
            </w:r>
          </w:p>
        </w:tc>
        <w:tc>
          <w:tcPr>
            <w:tcW w:type="dxa" w:w="9751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안전장치</w:t>
            </w:r>
          </w:p>
        </w:tc>
      </w:tr>
      <w:tr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변경 내용을 모른 채 반영</w:t>
            </w:r>
          </w:p>
        </w:tc>
        <w:tc>
          <w:tcPr>
            <w:tcW w:type="dxa" w:w="975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insert/update/no-change Preview와 상품별 변경 전·후 표시</w:t>
            </w:r>
          </w:p>
        </w:tc>
      </w:tr>
      <w:tr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Preview 후 데이터 변경</w:t>
            </w:r>
          </w:p>
        </w:tc>
        <w:tc>
          <w:tcPr>
            <w:tcW w:type="dxa" w:w="975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expected_preview_hash를 실행 직전 재계산, 불일치 시 409 preview_stale</w:t>
            </w:r>
          </w:p>
        </w:tc>
      </w:tr>
      <w:tr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실수로 즉시 반영</w:t>
            </w:r>
          </w:p>
        </w:tc>
        <w:tc>
          <w:tcPr>
            <w:tcW w:type="dxa" w:w="975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operator RBAC + confirmed + UI 승인 checkbox</w:t>
            </w:r>
          </w:p>
        </w:tc>
      </w:tr>
      <w:tr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일부만 반영</w:t>
            </w:r>
          </w:p>
        </w:tc>
        <w:tc>
          <w:tcPr>
            <w:tcW w:type="dxa" w:w="975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단일 PostgreSQL transaction으로 All-or-Nothing</w:t>
            </w:r>
          </w:p>
        </w:tc>
      </w:tr>
    </w:tbl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B94A48"/>
          <w:sz w:val="23"/>
        </w:rPr>
        <w:t>Rollback: 최신 변경을 덮어쓰지 않는 복구</w:t>
      </w:r>
    </w:p>
    <w:p>
      <w:pPr>
        <w:spacing w:before="0" w:after="40" w:line="240" w:lineRule="auto"/>
        <w:jc w:val="center"/>
        <w:widowControl/>
      </w:pPr>
      <w:r>
        <w:drawing>
          <wp:inline xmlns:a="http://schemas.openxmlformats.org/drawingml/2006/main" xmlns:pic="http://schemas.openxmlformats.org/drawingml/2006/picture">
            <wp:extent cx="8460000" cy="14929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14929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370"/>
      </w:tblGrid>
      <w:tr>
        <w:trPr>
          <w:tblHeader w:val="true"/>
        </w:trPr>
        <w:tc>
          <w:tcPr>
            <w:tcW w:type="dxa" w:w="4989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위험</w:t>
            </w:r>
          </w:p>
        </w:tc>
        <w:tc>
          <w:tcPr>
            <w:tcW w:type="dxa" w:w="9751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안전장치</w:t>
            </w:r>
          </w:p>
        </w:tc>
      </w:tr>
      <w:tr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다른 최신 변경을 덮어씀</w:t>
            </w:r>
          </w:p>
        </w:tc>
        <w:tc>
          <w:tcPr>
            <w:tcW w:type="dxa" w:w="975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원본 Audit after와 현재 business field를 비교해 conflict 차단</w:t>
            </w:r>
          </w:p>
        </w:tc>
      </w:tr>
      <w:tr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Rollback Preview 후 변경</w:t>
            </w:r>
          </w:p>
        </w:tc>
        <w:tc>
          <w:tcPr>
            <w:tcW w:type="dxa" w:w="975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rollback preview hash를 실행 직전 재검증</w:t>
            </w:r>
          </w:p>
        </w:tc>
      </w:tr>
      <w:tr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중복 Rollback</w:t>
            </w:r>
          </w:p>
        </w:tc>
        <w:tc>
          <w:tcPr>
            <w:tcW w:type="dxa" w:w="975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FOR UPDATE + partial unique index로 성공 Rollback 1회 제한</w:t>
            </w:r>
          </w:p>
        </w:tc>
      </w:tr>
      <w:tr>
        <w:tc>
          <w:tcPr>
            <w:tcW w:type="dxa" w:w="498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복구 중 일부 실패</w:t>
            </w:r>
          </w:p>
        </w:tc>
        <w:tc>
          <w:tcPr>
            <w:tcW w:type="dxa" w:w="975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하나의 transaction에서 삭제/복원, 실패 시 전체 원복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0"/>
      </w:tblGrid>
      <w:tr>
        <w:tc>
          <w:tcPr>
            <w:tcW w:type="dxa" w:w="14740"/>
            <w:shd w:fill="EAF5F1"/>
            <w:tcBorders>
              <w:top w:val="single" w:sz="8" w:space="0" w:color="2B7A67"/>
              <w:left w:val="single" w:sz="8" w:space="0" w:color="2B7A67"/>
              <w:bottom w:val="single" w:sz="8" w:space="0" w:color="2B7A67"/>
              <w:right w:val="single" w:sz="8" w:space="0" w:color="2B7A67"/>
              <w:insideH w:val="single" w:sz="8" w:space="0" w:color="2B7A67"/>
              <w:insideV w:val="single" w:sz="8" w:space="0" w:color="2B7A6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anumSquare" w:hAnsi="NanumSquare" w:eastAsia="NanumSquare"/>
                <w:b/>
                <w:color w:val="2B7A67"/>
                <w:sz w:val="18"/>
              </w:rPr>
              <w:t xml:space="preserve">Audit  </w:t>
            </w:r>
            <w:r>
              <w:rPr>
                <w:rFonts w:ascii="NanumSquare" w:hAnsi="NanumSquare" w:eastAsia="NanumSquare"/>
                <w:b w:val="0"/>
                <w:color w:val="263442"/>
                <w:sz w:val="18"/>
              </w:rPr>
              <w:t>Inspection·ETL·Promotion·Rollback Run에 실행 주체를 기록하고, Promotion/Rollback은 상품 단위 before/after 이력까지 남겨 “누가 무엇을 바꿨는지” 추적할 수 있게 했습니다.</w:t>
            </w:r>
          </w:p>
        </w:tc>
      </w:tr>
    </w:tbl>
    <w:p>
      <w:pPr>
        <w:widowControl/>
      </w:pPr>
      <w:r>
        <w:br w:type="page"/>
      </w:r>
    </w:p>
    <w:p>
      <w:pPr>
        <w:spacing w:before="0" w:after="60" w:line="240" w:lineRule="auto"/>
        <w:keepNext/>
        <w:widowControl/>
      </w:pPr>
      <w:r>
        <w:rPr>
          <w:rFonts w:ascii="NanumSquare" w:hAnsi="NanumSquare" w:eastAsia="NanumSquare"/>
          <w:b/>
          <w:color w:val="2E75B6"/>
          <w:sz w:val="36"/>
        </w:rPr>
        <w:t xml:space="preserve">4. </w:t>
      </w:r>
      <w:r>
        <w:rPr>
          <w:rFonts w:ascii="NanumSquare" w:hAnsi="NanumSquare" w:eastAsia="NanumSquare"/>
          <w:b/>
          <w:color w:val="1F4E79"/>
          <w:sz w:val="36"/>
        </w:rPr>
        <w:t>문제 해결 경험 - 테스트가 놓친 실제 DB 오류</w:t>
      </w:r>
    </w:p>
    <w:p>
      <w:pPr>
        <w:spacing w:before="0" w:after="160" w:line="276" w:lineRule="auto"/>
        <w:keepNext/>
        <w:widowControl/>
      </w:pPr>
      <w:r>
        <w:rPr>
          <w:rFonts w:ascii="NanumSquare" w:hAnsi="NanumSquare" w:eastAsia="NanumSquare"/>
          <w:b w:val="0"/>
          <w:color w:val="657789"/>
          <w:sz w:val="18"/>
        </w:rPr>
        <w:t>“테스트가 많이 통과한다”보다 실제 실행 경로에서 실패를 재현하고 원인을 구조적으로 제거하는 데 집중했습니다.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0"/>
      </w:tblGrid>
      <w:tr>
        <w:tc>
          <w:tcPr>
            <w:tcW w:type="dxa" w:w="14740"/>
            <w:shd w:fill="FBECEE"/>
            <w:tcBorders>
              <w:top w:val="single" w:sz="8" w:space="0" w:color="B94A48"/>
              <w:left w:val="single" w:sz="8" w:space="0" w:color="B94A48"/>
              <w:bottom w:val="single" w:sz="8" w:space="0" w:color="B94A48"/>
              <w:right w:val="single" w:sz="8" w:space="0" w:color="B94A48"/>
              <w:insideH w:val="single" w:sz="8" w:space="0" w:color="B94A48"/>
              <w:insideV w:val="single" w:sz="8" w:space="0" w:color="B94A48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anumSquare" w:hAnsi="NanumSquare" w:eastAsia="NanumSquare"/>
                <w:b/>
                <w:color w:val="B94A48"/>
                <w:sz w:val="18"/>
              </w:rPr>
              <w:t xml:space="preserve">대표 사례  </w:t>
            </w:r>
            <w:r>
              <w:rPr>
                <w:rFonts w:ascii="NanumSquare" w:hAnsi="NanumSquare" w:eastAsia="NanumSquare"/>
                <w:b w:val="0"/>
                <w:color w:val="263442"/>
                <w:sz w:val="18"/>
              </w:rPr>
              <w:t>전체 테스트가 통과하던 상태에서도 실제 PostgreSQL 동기 검수 Route에서 HTTP 500이 발생했습니다. 원인은 사전 SELECT가 SQLAlchemy autobegin transaction을 열고, 저장 Service가 같은 Session에서 session.begin()을 다시 호출한 transaction ownership 충돌이었습니다.</w:t>
            </w:r>
          </w:p>
        </w:tc>
      </w:tr>
    </w:tbl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1F4E79"/>
          <w:sz w:val="23"/>
        </w:rPr>
        <w:t>오류 분석과 수정 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3"/>
        <w:gridCol w:w="4913"/>
        <w:gridCol w:w="4913"/>
      </w:tblGrid>
      <w:tr>
        <w:trPr>
          <w:tblHeader w:val="true"/>
        </w:trPr>
        <w:tc>
          <w:tcPr>
            <w:tcW w:type="dxa" w:w="192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686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확인 내용</w:t>
            </w:r>
          </w:p>
        </w:tc>
        <w:tc>
          <w:tcPr>
            <w:tcW w:type="dxa" w:w="5953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조치</w:t>
            </w:r>
          </w:p>
        </w:tc>
      </w:tr>
      <w:tr>
        <w:tc>
          <w:tcPr>
            <w:tcW w:type="dxa" w:w="192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1. 재현</w:t>
            </w:r>
          </w:p>
        </w:tc>
        <w:tc>
          <w:tcPr>
            <w:tcW w:type="dxa" w:w="6860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실제 PostgreSQL Route 호출에서만 500</w:t>
            </w:r>
          </w:p>
        </w:tc>
        <w:tc>
          <w:tcPr>
            <w:tcW w:type="dxa" w:w="595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SQLite/단위 테스트가 아닌 route-level regression 추가</w:t>
            </w:r>
          </w:p>
        </w:tc>
      </w:tr>
      <w:tr>
        <w:tc>
          <w:tcPr>
            <w:tcW w:type="dxa" w:w="192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2. 원인</w:t>
            </w:r>
          </w:p>
        </w:tc>
        <w:tc>
          <w:tcPr>
            <w:tcW w:type="dxa" w:w="6860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precheck SELECT → autobegin, 이후 Service session.begin() 충돌</w:t>
            </w:r>
          </w:p>
        </w:tc>
        <w:tc>
          <w:tcPr>
            <w:tcW w:type="dxa" w:w="595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세션의 트랜잭션 소유권을 추적</w:t>
            </w:r>
          </w:p>
        </w:tc>
      </w:tr>
      <w:tr>
        <w:tc>
          <w:tcPr>
            <w:tcW w:type="dxa" w:w="192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3. 수정</w:t>
            </w:r>
          </w:p>
        </w:tc>
        <w:tc>
          <w:tcPr>
            <w:tcW w:type="dxa" w:w="6860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사전 조회와 저장이 같은 Session을 공유</w:t>
            </w:r>
          </w:p>
        </w:tc>
        <w:tc>
          <w:tcPr>
            <w:tcW w:type="dxa" w:w="595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precheck_session을 별도로 분리</w:t>
            </w:r>
          </w:p>
        </w:tc>
      </w:tr>
      <w:tr>
        <w:tc>
          <w:tcPr>
            <w:tcW w:type="dxa" w:w="192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4. 결과</w:t>
            </w:r>
          </w:p>
        </w:tc>
        <w:tc>
          <w:tcPr>
            <w:tcW w:type="dxa" w:w="6860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Service가 유일한 transaction owner가 됨</w:t>
            </w:r>
          </w:p>
        </w:tc>
        <w:tc>
          <w:tcPr>
            <w:tcW w:type="dxa" w:w="5953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중복 사전 조회 + DB unique 방어를 모두 유지</w:t>
            </w:r>
          </w:p>
        </w:tc>
      </w:tr>
    </w:tbl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2B7A67"/>
          <w:sz w:val="23"/>
        </w:rPr>
        <w:t>같은 방식으로 해결한 UI 회귀</w:t>
      </w:r>
    </w:p>
    <w:p>
      <w:pPr>
        <w:spacing w:before="0" w:after="100" w:line="26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7"/>
        </w:rPr>
        <w:t>Web ETL selectbox가 기존 검색 필드와 같은 accessible label을 사용해 Playwright strict-mode violation이 발생했습니다. selector를 .first()로 우회하지 않고 신규 label을 “ETL 실행 프로필”로 분리하여 UI 의미와 E2E 안정성을 함께 회복했습니다.</w:t>
      </w:r>
    </w:p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C55A11"/>
          <w:sz w:val="23"/>
        </w:rPr>
        <w:t>성능 판단도 “근거가 있을 때만”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370"/>
      </w:tblGrid>
      <w:tr>
        <w:trPr>
          <w:tblHeader w:val="true"/>
        </w:trPr>
        <w:tc>
          <w:tcPr>
            <w:tcW w:type="dxa" w:w="3231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항목</w:t>
            </w:r>
          </w:p>
        </w:tc>
        <w:tc>
          <w:tcPr>
            <w:tcW w:type="dxa" w:w="11509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기준</w:t>
            </w:r>
          </w:p>
        </w:tc>
      </w:tr>
      <w:tr>
        <w:tc>
          <w:tcPr>
            <w:tcW w:type="dxa" w:w="323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데이터 규모</w:t>
            </w:r>
          </w:p>
        </w:tc>
        <w:tc>
          <w:tcPr>
            <w:tcW w:type="dxa" w:w="1150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inspection_runs 10,000 / inspection_results 100,000</w:t>
            </w:r>
          </w:p>
        </w:tc>
      </w:tr>
      <w:tr>
        <w:tc>
          <w:tcPr>
            <w:tcW w:type="dxa" w:w="323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측정</w:t>
            </w:r>
          </w:p>
        </w:tc>
        <w:tc>
          <w:tcPr>
            <w:tcW w:type="dxa" w:w="1150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EXPLAIN (ANALYZE, BUFFERS, FORMAT JSON), warmup 2회 + 측정 7회</w:t>
            </w:r>
          </w:p>
        </w:tc>
      </w:tr>
      <w:tr>
        <w:tc>
          <w:tcPr>
            <w:tcW w:type="dxa" w:w="323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중앙값 예시</w:t>
            </w:r>
          </w:p>
        </w:tc>
        <w:tc>
          <w:tcPr>
            <w:tcW w:type="dxa" w:w="1150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동일 CSV 0.018 ms · 목록 0.044 ms · count 0.872 ms · 상세 0.016 ms</w:t>
            </w:r>
          </w:p>
        </w:tc>
      </w:tr>
      <w:tr>
        <w:tc>
          <w:tcPr>
            <w:tcW w:type="dxa" w:w="3231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판단</w:t>
            </w:r>
          </w:p>
        </w:tc>
        <w:tc>
          <w:tcPr>
            <w:tcW w:type="dxa" w:w="1150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현재 측정 범위에서 병목 근거가 없어 불필요한 index/migration을 추가하지 않음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0"/>
      </w:tblGrid>
      <w:tr>
        <w:tc>
          <w:tcPr>
            <w:tcW w:type="dxa" w:w="14740"/>
            <w:shd w:fill="EAF2F8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  <w:insideH w:val="single" w:sz="8" w:space="0" w:color="2E75B6"/>
              <w:insideV w:val="single" w:sz="8" w:space="0" w:color="2E75B6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anumSquare" w:hAnsi="NanumSquare" w:eastAsia="NanumSquare"/>
                <w:b/>
                <w:color w:val="2E75B6"/>
                <w:sz w:val="18"/>
              </w:rPr>
              <w:t xml:space="preserve">배운 점  </w:t>
            </w:r>
            <w:r>
              <w:rPr>
                <w:rFonts w:ascii="NanumSquare" w:hAnsi="NanumSquare" w:eastAsia="NanumSquare"/>
                <w:b w:val="0"/>
                <w:color w:val="263442"/>
                <w:sz w:val="18"/>
              </w:rPr>
              <w:t>테스트 개수나 기술 이름보다 “실제 장애를 재현할 수 있는가, 트랜잭션·DB 제약·브라우저 행동까지 검증하는가”가 백엔드 품질에 더 중요하다고 판단했습니다.</w:t>
            </w:r>
          </w:p>
        </w:tc>
      </w:tr>
    </w:tbl>
    <w:p>
      <w:pPr>
        <w:widowControl/>
      </w:pPr>
      <w:r>
        <w:br w:type="page"/>
      </w:r>
    </w:p>
    <w:p>
      <w:pPr>
        <w:spacing w:before="0" w:after="60" w:line="240" w:lineRule="auto"/>
        <w:keepNext/>
        <w:widowControl/>
      </w:pPr>
      <w:r>
        <w:rPr>
          <w:rFonts w:ascii="NanumSquare" w:hAnsi="NanumSquare" w:eastAsia="NanumSquare"/>
          <w:b/>
          <w:color w:val="2E75B6"/>
          <w:sz w:val="36"/>
        </w:rPr>
        <w:t xml:space="preserve">5. </w:t>
      </w:r>
      <w:r>
        <w:rPr>
          <w:rFonts w:ascii="NanumSquare" w:hAnsi="NanumSquare" w:eastAsia="NanumSquare"/>
          <w:b/>
          <w:color w:val="1F4E79"/>
          <w:sz w:val="36"/>
        </w:rPr>
        <w:t>테스트·CI와 운영 환경 검증</w:t>
      </w:r>
    </w:p>
    <w:p>
      <w:pPr>
        <w:spacing w:before="0" w:after="160" w:line="276" w:lineRule="auto"/>
        <w:keepNext/>
        <w:widowControl/>
      </w:pPr>
      <w:r>
        <w:rPr>
          <w:rFonts w:ascii="NanumSquare" w:hAnsi="NanumSquare" w:eastAsia="NanumSquare"/>
          <w:b w:val="0"/>
          <w:color w:val="657789"/>
          <w:sz w:val="18"/>
        </w:rPr>
        <w:t>일반 테스트와 브라우저·인프라 검증을 분리하여 실패 원인을 빠르게 구분하고, 실제 서비스 연결 경로를 회귀 테스트로 남겼습니다.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685"/>
        <w:gridCol w:w="3685"/>
        <w:gridCol w:w="3685"/>
      </w:tblGrid>
      <w:tr>
        <w:tc>
          <w:tcPr>
            <w:tcW w:type="dxa" w:w="3685"/>
            <w:shd w:fill="EAF2F8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  <w:insideH w:val="single" w:sz="8" w:space="0" w:color="2E75B6"/>
              <w:insideV w:val="single" w:sz="8" w:space="0" w:color="2E75B6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E75B6"/>
                <w:sz w:val="25"/>
              </w:rPr>
              <w:t>1923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passed</w:t>
            </w:r>
          </w:p>
        </w:tc>
        <w:tc>
          <w:tcPr>
            <w:tcW w:type="dxa" w:w="3685"/>
            <w:shd w:fill="EAF5F1"/>
            <w:tcBorders>
              <w:top w:val="single" w:sz="8" w:space="0" w:color="2B7A67"/>
              <w:left w:val="single" w:sz="8" w:space="0" w:color="2B7A67"/>
              <w:bottom w:val="single" w:sz="8" w:space="0" w:color="2B7A67"/>
              <w:right w:val="single" w:sz="8" w:space="0" w:color="2B7A67"/>
              <w:insideH w:val="single" w:sz="8" w:space="0" w:color="2B7A67"/>
              <w:insideV w:val="single" w:sz="8" w:space="0" w:color="2B7A67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B7A67"/>
                <w:sz w:val="25"/>
              </w:rPr>
              <w:t>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Chromium E2E</w:t>
            </w:r>
          </w:p>
        </w:tc>
        <w:tc>
          <w:tcPr>
            <w:tcW w:type="dxa" w:w="3685"/>
            <w:shd w:fill="FCF0E5"/>
            <w:tcBorders>
              <w:top w:val="single" w:sz="8" w:space="0" w:color="C55A11"/>
              <w:left w:val="single" w:sz="8" w:space="0" w:color="C55A11"/>
              <w:bottom w:val="single" w:sz="8" w:space="0" w:color="C55A11"/>
              <w:right w:val="single" w:sz="8" w:space="0" w:color="C55A11"/>
              <w:insideH w:val="single" w:sz="8" w:space="0" w:color="C55A11"/>
              <w:insideV w:val="single" w:sz="8" w:space="0" w:color="C55A1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C55A11"/>
                <w:sz w:val="25"/>
              </w:rPr>
              <w:t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CI jobs</w:t>
            </w:r>
          </w:p>
        </w:tc>
        <w:tc>
          <w:tcPr>
            <w:tcW w:type="dxa" w:w="3685"/>
            <w:shd w:fill="FBECEE"/>
            <w:tcBorders>
              <w:top w:val="single" w:sz="8" w:space="0" w:color="B94A48"/>
              <w:left w:val="single" w:sz="8" w:space="0" w:color="B94A48"/>
              <w:bottom w:val="single" w:sz="8" w:space="0" w:color="B94A48"/>
              <w:right w:val="single" w:sz="8" w:space="0" w:color="B94A48"/>
              <w:insideH w:val="single" w:sz="8" w:space="0" w:color="B94A48"/>
              <w:insideV w:val="single" w:sz="8" w:space="0" w:color="B94A48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B94A48"/>
                <w:sz w:val="25"/>
              </w:rPr>
              <w:t>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failed</w:t>
            </w:r>
          </w:p>
        </w:tc>
      </w:tr>
    </w:tbl>
    <w:p>
      <w:pPr>
        <w:spacing w:before="0" w:after="80" w:line="240" w:lineRule="auto"/>
        <w:widowControl/>
      </w:pPr>
    </w:p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1F4E79"/>
          <w:sz w:val="23"/>
        </w:rPr>
        <w:t>GitHub Actions 5개 검증 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370"/>
      </w:tblGrid>
      <w:tr>
        <w:trPr>
          <w:tblHeader w:val="true"/>
        </w:trPr>
        <w:tc>
          <w:tcPr>
            <w:tcW w:type="dxa" w:w="340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Job</w:t>
            </w:r>
          </w:p>
        </w:tc>
        <w:tc>
          <w:tcPr>
            <w:tcW w:type="dxa" w:w="11339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검증 범위</w:t>
            </w:r>
          </w:p>
        </w:tc>
      </w:tr>
      <w:tr>
        <w:tc>
          <w:tcPr>
            <w:tcW w:type="dxa" w:w="340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test</w:t>
            </w:r>
          </w:p>
        </w:tc>
        <w:tc>
          <w:tcPr>
            <w:tcW w:type="dxa" w:w="1133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PostgreSQL·Redis, Auth/RBAC, Sync/Async inspection, Web ETL, Promotion/Rollback, Streamlit, AWS runtime smoke</w:t>
            </w:r>
          </w:p>
        </w:tc>
      </w:tr>
      <w:tr>
        <w:tc>
          <w:tcPr>
            <w:tcW w:type="dxa" w:w="340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browser-e2e</w:t>
            </w:r>
          </w:p>
        </w:tc>
        <w:tc>
          <w:tcPr>
            <w:tcW w:type="dxa" w:w="1133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Chromium에서 Reject masking + Promotion→Audit→Rollback→Rollback Change Audit, PostgreSQL 최종 상태</w:t>
            </w:r>
          </w:p>
        </w:tc>
      </w:tr>
      <w:tr>
        <w:tc>
          <w:tcPr>
            <w:tcW w:type="dxa" w:w="340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kubernetes-smoke</w:t>
            </w:r>
          </w:p>
        </w:tc>
        <w:tc>
          <w:tcPr>
            <w:tcW w:type="dxa" w:w="1133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kind에서 PostgreSQL → Migration Job → API rollout, /health·/ready 확인</w:t>
            </w:r>
          </w:p>
        </w:tc>
      </w:tr>
      <w:tr>
        <w:tc>
          <w:tcPr>
            <w:tcW w:type="dxa" w:w="340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terraform-validate</w:t>
            </w:r>
          </w:p>
        </w:tc>
        <w:tc>
          <w:tcPr>
            <w:tcW w:type="dxa" w:w="1133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EC2/RDS/SG/SSM 구조 validate + mock provider test, 실제 AWS apply는 하지 않음</w:t>
            </w:r>
          </w:p>
        </w:tc>
      </w:tr>
      <w:tr>
        <w:tc>
          <w:tcPr>
            <w:tcW w:type="dxa" w:w="340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airflow-smoke</w:t>
            </w:r>
          </w:p>
        </w:tc>
        <w:tc>
          <w:tcPr>
            <w:tcW w:type="dxa" w:w="11339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Airflow 3.3.0 configured HTTP feed manual DAG import/parse 및 기존 ETL 재사용 검증</w:t>
            </w:r>
          </w:p>
        </w:tc>
      </w:tr>
    </w:tbl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2B7A67"/>
          <w:sz w:val="23"/>
        </w:rPr>
        <w:t>실제 운영 환경과 범위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3"/>
        <w:gridCol w:w="4913"/>
        <w:gridCol w:w="4913"/>
      </w:tblGrid>
      <w:tr>
        <w:trPr>
          <w:tblHeader w:val="true"/>
        </w:trPr>
        <w:tc>
          <w:tcPr>
            <w:tcW w:type="dxa" w:w="3005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영역</w:t>
            </w:r>
          </w:p>
        </w:tc>
        <w:tc>
          <w:tcPr>
            <w:tcW w:type="dxa" w:w="6350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검증한 것</w:t>
            </w:r>
          </w:p>
        </w:tc>
        <w:tc>
          <w:tcPr>
            <w:tcW w:type="dxa" w:w="5386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과장하지 않는 범위</w:t>
            </w:r>
          </w:p>
        </w:tc>
      </w:tr>
      <w:tr>
        <w:tc>
          <w:tcPr>
            <w:tcW w:type="dxa" w:w="3005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Docker/AWS runtime</w:t>
            </w:r>
          </w:p>
        </w:tc>
        <w:tc>
          <w:tcPr>
            <w:tcW w:type="dxa" w:w="6350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Dockerfile.aws build, UID 10001, migration, Uvicorn /health·/ready</w:t>
            </w:r>
          </w:p>
        </w:tc>
        <w:tc>
          <w:tcPr>
            <w:tcW w:type="dxa" w:w="5386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최신 코드의 실제 EC2/RDS 재배포는 미실행</w:t>
            </w:r>
          </w:p>
        </w:tc>
      </w:tr>
      <w:tr>
        <w:tc>
          <w:tcPr>
            <w:tcW w:type="dxa" w:w="3005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AWS staging 경험</w:t>
            </w:r>
          </w:p>
        </w:tc>
        <w:tc>
          <w:tcPr>
            <w:tcW w:type="dxa" w:w="6350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EC2·RDS·TLS·Docker·FastAPI·Streamlit 검증 경험</w:t>
            </w:r>
          </w:p>
        </w:tc>
        <w:tc>
          <w:tcPr>
            <w:tcW w:type="dxa" w:w="5386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비용 절감으로 리소스 중지</w:t>
            </w:r>
          </w:p>
        </w:tc>
      </w:tr>
      <w:tr>
        <w:tc>
          <w:tcPr>
            <w:tcW w:type="dxa" w:w="3005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S3 ingestion</w:t>
            </w:r>
          </w:p>
        </w:tc>
        <w:tc>
          <w:tcPr>
            <w:tcW w:type="dxa" w:w="6350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Instance Role 최소 권한으로 private S3 입력을 기존 ETL→staging에 연결</w:t>
            </w:r>
          </w:p>
        </w:tc>
        <w:tc>
          <w:tcPr>
            <w:tcW w:type="dxa" w:w="5386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정적 access key 미주입</w:t>
            </w:r>
          </w:p>
        </w:tc>
      </w:tr>
      <w:tr>
        <w:tc>
          <w:tcPr>
            <w:tcW w:type="dxa" w:w="3005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Observability</w:t>
            </w:r>
          </w:p>
        </w:tc>
        <w:tc>
          <w:tcPr>
            <w:tcW w:type="dxa" w:w="6350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Prometheus /metrics 및 HTTP/ETL 지표</w:t>
            </w:r>
          </w:p>
        </w:tc>
        <w:tc>
          <w:tcPr>
            <w:tcW w:type="dxa" w:w="5386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4"/>
              </w:rPr>
              <w:t>대규모 운영 모니터링/SLA 검증은 아님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0"/>
      </w:tblGrid>
      <w:tr>
        <w:tc>
          <w:tcPr>
            <w:tcW w:type="dxa" w:w="14740"/>
            <w:shd w:fill="EAF5F1"/>
            <w:tcBorders>
              <w:top w:val="single" w:sz="8" w:space="0" w:color="2B7A67"/>
              <w:left w:val="single" w:sz="8" w:space="0" w:color="2B7A67"/>
              <w:bottom w:val="single" w:sz="8" w:space="0" w:color="2B7A67"/>
              <w:right w:val="single" w:sz="8" w:space="0" w:color="2B7A67"/>
              <w:insideH w:val="single" w:sz="8" w:space="0" w:color="2B7A67"/>
              <w:insideV w:val="single" w:sz="8" w:space="0" w:color="2B7A6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anumSquare" w:hAnsi="NanumSquare" w:eastAsia="NanumSquare"/>
                <w:b/>
                <w:color w:val="2B7A67"/>
                <w:sz w:val="18"/>
              </w:rPr>
              <w:t xml:space="preserve">현재 검증 기준  </w:t>
            </w:r>
            <w:r>
              <w:rPr>
                <w:rFonts w:ascii="NanumSquare" w:hAnsi="NanumSquare" w:eastAsia="NanumSquare"/>
                <w:b w:val="0"/>
                <w:color w:val="263442"/>
                <w:sz w:val="18"/>
              </w:rPr>
              <w:t>2026-08-17 · main HEAD ffa20af… · GitHub Actions Run 31945356223 · 5/5 success · 1923 passed · 2 skipped · 5 deselected · 0 failed.</w:t>
            </w:r>
          </w:p>
        </w:tc>
      </w:tr>
    </w:tbl>
    <w:p>
      <w:pPr>
        <w:widowControl/>
      </w:pPr>
      <w:r>
        <w:br w:type="page"/>
      </w:r>
    </w:p>
    <w:p>
      <w:pPr>
        <w:spacing w:before="0" w:after="60" w:line="240" w:lineRule="auto"/>
        <w:keepNext/>
        <w:widowControl/>
      </w:pPr>
      <w:r>
        <w:rPr>
          <w:rFonts w:ascii="NanumSquare" w:hAnsi="NanumSquare" w:eastAsia="NanumSquare"/>
          <w:b/>
          <w:color w:val="2E75B6"/>
          <w:sz w:val="36"/>
        </w:rPr>
        <w:t xml:space="preserve">6. </w:t>
      </w:r>
      <w:r>
        <w:rPr>
          <w:rFonts w:ascii="NanumSquare" w:hAnsi="NanumSquare" w:eastAsia="NanumSquare"/>
          <w:b/>
          <w:color w:val="1F4E79"/>
          <w:sz w:val="36"/>
        </w:rPr>
        <w:t>지원 포지셔닝과 현재 한계</w:t>
      </w:r>
    </w:p>
    <w:p>
      <w:pPr>
        <w:spacing w:before="0" w:after="160" w:line="276" w:lineRule="auto"/>
        <w:keepNext/>
        <w:widowControl/>
      </w:pPr>
      <w:r>
        <w:rPr>
          <w:rFonts w:ascii="NanumSquare" w:hAnsi="NanumSquare" w:eastAsia="NanumSquare"/>
          <w:b w:val="0"/>
          <w:color w:val="657789"/>
          <w:sz w:val="18"/>
        </w:rPr>
        <w:t>핵심은 인프라 기술의 개수가 아니라 패션·이커머스 상품 데이터를 안전하게 검수·적재·반영하는 백엔드 문제를 해결한 경험입니다.</w:t>
      </w:r>
    </w:p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1F4E79"/>
          <w:sz w:val="23"/>
        </w:rPr>
        <w:t>핵심 기술 스택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2"/>
        <w:gridCol w:w="1842"/>
        <w:gridCol w:w="1842"/>
        <w:gridCol w:w="1842"/>
        <w:gridCol w:w="1842"/>
        <w:gridCol w:w="1842"/>
        <w:gridCol w:w="1842"/>
        <w:gridCol w:w="1842"/>
      </w:tblGrid>
      <w:tr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Python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FastAPI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PostgreSQL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SQLAlchemy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Alembic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Redis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Celery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ETL</w:t>
            </w:r>
          </w:p>
        </w:tc>
      </w:tr>
    </w:tbl>
    <w:p>
      <w:pPr>
        <w:spacing w:before="0" w:after="60" w:line="240" w:lineRule="auto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2"/>
        <w:gridCol w:w="1842"/>
        <w:gridCol w:w="1842"/>
        <w:gridCol w:w="1842"/>
        <w:gridCol w:w="1842"/>
        <w:gridCol w:w="1842"/>
        <w:gridCol w:w="1842"/>
        <w:gridCol w:w="1842"/>
      </w:tblGrid>
      <w:tr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Streamlit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Playwright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Docker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GitHub Actions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AWS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Kubernetes(kind)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Terraform</w:t>
            </w:r>
          </w:p>
        </w:tc>
        <w:tc>
          <w:tcPr>
            <w:tcW w:type="dxa" w:w="1843"/>
            <w:shd w:fill="F4F6F7"/>
            <w:tcBorders>
              <w:top w:val="single" w:sz="5" w:space="0" w:color="D7E0E6"/>
              <w:left w:val="single" w:sz="5" w:space="0" w:color="D7E0E6"/>
              <w:bottom w:val="single" w:sz="5" w:space="0" w:color="D7E0E6"/>
              <w:right w:val="single" w:sz="5" w:space="0" w:color="D7E0E6"/>
              <w:insideH w:val="single" w:sz="5" w:space="0" w:color="D7E0E6"/>
              <w:insideV w:val="single" w:sz="5" w:space="0" w:color="D7E0E6"/>
            </w:tcBorders>
            <w:tcMar>
              <w:top w:w="60" w:type="dxa"/>
              <w:start w:w="40" w:type="dxa"/>
              <w:bottom w:w="60" w:type="dxa"/>
              <w:end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263442"/>
                <w:sz w:val="14"/>
              </w:rPr>
              <w:t>Airflow</w:t>
            </w:r>
          </w:p>
        </w:tc>
      </w:tr>
    </w:tbl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2B7A67"/>
          <w:sz w:val="23"/>
        </w:rPr>
        <w:t>채용 관점에서 보여주고 싶은 역량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7370"/>
      </w:tblGrid>
      <w:tr>
        <w:trPr>
          <w:tblHeader w:val="true"/>
        </w:trPr>
        <w:tc>
          <w:tcPr>
            <w:tcW w:type="dxa" w:w="3798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역량</w:t>
            </w:r>
          </w:p>
        </w:tc>
        <w:tc>
          <w:tcPr>
            <w:tcW w:type="dxa" w:w="10942"/>
            <w:shd w:fill="1F4E79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  <w:insideH w:val="single" w:sz="6" w:space="0" w:color="1F4E79"/>
              <w:insideV w:val="single" w:sz="6" w:space="0" w:color="1F4E79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5"/>
              </w:rPr>
              <w:t>프로젝트 근거</w:t>
            </w:r>
          </w:p>
        </w:tc>
      </w:tr>
      <w:tr>
        <w:tc>
          <w:tcPr>
            <w:tcW w:type="dxa" w:w="379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Python/FastAPI 백엔드</w:t>
            </w:r>
          </w:p>
        </w:tc>
        <w:tc>
          <w:tcPr>
            <w:tcW w:type="dxa" w:w="1094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API 계약, JWT/RBAC, Service/Query 분리, 상태 코드·예외 처리</w:t>
            </w:r>
          </w:p>
        </w:tc>
      </w:tr>
      <w:tr>
        <w:tc>
          <w:tcPr>
            <w:tcW w:type="dxa" w:w="379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DB·트랜잭션</w:t>
            </w:r>
          </w:p>
        </w:tc>
        <w:tc>
          <w:tcPr>
            <w:tcW w:type="dxa" w:w="1094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PostgreSQL constraint/unique/FK, Promotion/Rollback 원자성, transaction ownership 수정</w:t>
            </w:r>
          </w:p>
        </w:tc>
      </w:tr>
      <w:tr>
        <w:tc>
          <w:tcPr>
            <w:tcW w:type="dxa" w:w="379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상품 데이터·ETL</w:t>
            </w:r>
          </w:p>
        </w:tc>
        <w:tc>
          <w:tcPr>
            <w:tcW w:type="dxa" w:w="1094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JSON Profile, normal/reject, staging, SHA-256 dedup, Source Lineage</w:t>
            </w:r>
          </w:p>
        </w:tc>
      </w:tr>
      <w:tr>
        <w:tc>
          <w:tcPr>
            <w:tcW w:type="dxa" w:w="3798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/>
                <w:color w:val="263442"/>
                <w:sz w:val="15"/>
              </w:rPr>
              <w:t>테스트·운영 품질</w:t>
            </w:r>
          </w:p>
        </w:tc>
        <w:tc>
          <w:tcPr>
            <w:tcW w:type="dxa" w:w="10942"/>
            <w:tcBorders>
              <w:top w:val="single" w:sz="4" w:space="0" w:color="D7E0E6"/>
              <w:left w:val="single" w:sz="4" w:space="0" w:color="D7E0E6"/>
              <w:bottom w:val="single" w:sz="4" w:space="0" w:color="D7E0E6"/>
              <w:right w:val="single" w:sz="4" w:space="0" w:color="D7E0E6"/>
              <w:insideH w:val="single" w:sz="4" w:space="0" w:color="D7E0E6"/>
              <w:insideV w:val="single" w:sz="4" w:space="0" w:color="D7E0E6"/>
            </w:tcBorders>
            <w:tcMar>
              <w:top w:w="65" w:type="dxa"/>
              <w:start w:w="85" w:type="dxa"/>
              <w:bottom w:w="65" w:type="dxa"/>
              <w:end w:w="85" w:type="dxa"/>
            </w:tcMar>
            <w:shd w:fill="FAFBFC"/>
            <w:vAlign w:val="center"/>
          </w:tcPr>
          <w:p>
            <w:pPr>
              <w:spacing w:before="0" w:after="0" w:line="252" w:lineRule="auto"/>
            </w:pPr>
            <w:r>
              <w:rPr>
                <w:rFonts w:ascii="NanumSquare" w:hAnsi="NanumSquare" w:eastAsia="NanumSquare"/>
                <w:b w:val="0"/>
                <w:color w:val="263442"/>
                <w:sz w:val="15"/>
              </w:rPr>
              <w:t>실제 PostgreSQL regression, Chromium E2E, CI 분리, runtime smoke</w:t>
            </w:r>
          </w:p>
        </w:tc>
      </w:tr>
    </w:tbl>
    <w:p>
      <w:pPr>
        <w:spacing w:before="60" w:after="60" w:line="240" w:lineRule="auto"/>
        <w:keepNext/>
        <w:widowControl/>
      </w:pPr>
      <w:r>
        <w:rPr>
          <w:rFonts w:ascii="NanumSquare" w:hAnsi="NanumSquare" w:eastAsia="NanumSquare"/>
          <w:b/>
          <w:color w:val="B94A48"/>
          <w:sz w:val="23"/>
        </w:rPr>
        <w:t>현재 한계 - 구현하지 않은 것을 명확히 구분</w:t>
      </w:r>
    </w:p>
    <w:p>
      <w:pPr>
        <w:pStyle w:val="ListBullet"/>
        <w:spacing w:before="0" w:after="28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Refresh Token·회원가입/password reset·OAuth/MFA/SSO·rate limit·세밀한 ACL/관리자 화면은 현재 MVP 범위 밖입니다.</w:t>
      </w:r>
    </w:p>
    <w:p>
      <w:pPr>
        <w:pStyle w:val="ListBullet"/>
        <w:spacing w:before="0" w:after="28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Web 업로드는 동기·단일 CSV 중심이며 streaming·증분 ETL·대규모 동시 트래픽 부하 시험은 지원하지 않습니다.</w:t>
      </w:r>
    </w:p>
    <w:p>
      <w:pPr>
        <w:pStyle w:val="ListBullet"/>
        <w:spacing w:before="0" w:after="28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Airflow는 configured HTTP feed의 manual trigger 범위이고, Terraform CI는 실제 AWS apply를 하지 않습니다.</w:t>
      </w:r>
    </w:p>
    <w:p>
      <w:pPr>
        <w:pStyle w:val="ListBullet"/>
        <w:spacing w:before="0" w:after="28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Kubernetes는 kind smoke 기준이며 production cluster·autoscaling·장애 복구 운영까지 검증한 것은 아닙니다.</w:t>
      </w:r>
    </w:p>
    <w:p>
      <w:pPr>
        <w:pStyle w:val="ListBullet"/>
        <w:spacing w:before="0" w:after="28" w:line="259" w:lineRule="auto"/>
        <w:keepLines/>
        <w:widowControl/>
      </w:pPr>
      <w:r>
        <w:rPr>
          <w:rFonts w:ascii="NanumSquare" w:hAnsi="NanumSquare" w:eastAsia="NanumSquare"/>
          <w:b w:val="0"/>
          <w:color w:val="263442"/>
          <w:sz w:val="16"/>
        </w:rPr>
        <w:t>성능 수치는 제한된 합성 benchmark이며 운영 트래픽 성능이나 SLA를 보증하지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0"/>
      </w:tblGrid>
      <w:tr>
        <w:tc>
          <w:tcPr>
            <w:tcW w:type="dxa" w:w="14740"/>
            <w:shd w:fill="EAF2F8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  <w:insideH w:val="single" w:sz="8" w:space="0" w:color="2E75B6"/>
              <w:insideV w:val="single" w:sz="8" w:space="0" w:color="2E75B6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before="0" w:after="0" w:line="259" w:lineRule="auto"/>
            </w:pPr>
            <w:r>
              <w:rPr>
                <w:rFonts w:ascii="NanumSquare" w:hAnsi="NanumSquare" w:eastAsia="NanumSquare"/>
                <w:b/>
                <w:color w:val="2E75B6"/>
                <w:sz w:val="18"/>
              </w:rPr>
              <w:t xml:space="preserve">30초 소개  </w:t>
            </w:r>
            <w:r>
              <w:rPr>
                <w:rFonts w:ascii="NanumSquare" w:hAnsi="NanumSquare" w:eastAsia="NanumSquare"/>
                <w:b w:val="0"/>
                <w:color w:val="263442"/>
                <w:sz w:val="18"/>
              </w:rPr>
              <w:t>CatalogGuard Lite는 공급사 상품 CSV를 JSON Profile로 표준화하고 품질 오류를 검수하는 Python·FastAPI 백엔드 프로젝트입니다. 정상 데이터만 PostgreSQL staging에 적재하고, Preview Hash 기반 Promotion과 conflict-safe Rollback으로 운영 변경을 보호합니다. 실제 PostgreSQL 회귀 테스트와 Chromium E2E, 분리된 CI를 통해 기능뿐 아니라 데이터 무결성과 운영 안전성까지 검증했습니다.</w:t>
            </w:r>
          </w:p>
        </w:tc>
      </w:tr>
    </w:tbl>
    <w:p>
      <w:pPr>
        <w:spacing w:before="100" w:after="0" w:line="240" w:lineRule="auto"/>
        <w:jc w:val="center"/>
        <w:widowControl/>
      </w:pPr>
      <w:r>
        <w:rPr>
          <w:rFonts w:ascii="NanumSquare" w:hAnsi="NanumSquare" w:eastAsia="NanumSquare"/>
          <w:b w:val="0"/>
          <w:color w:val="657789"/>
          <w:sz w:val="15"/>
        </w:rPr>
        <w:t>상세 기술 문서는 별도 13페이지 버전으로 보관 · 이 문서는 채용담당자 1차 검토용 요약본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680" w:right="1049" w:bottom="680" w:left="104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NanumSquare" w:hAnsi="NanumSquare" w:eastAsia="NanumSquare"/>
        <w:b w:val="0"/>
        <w:color w:val="657789"/>
        <w:sz w:val="14"/>
      </w:rPr>
      <w:t xml:space="preserve">CatalogGuard Lite  |  지원용 포트폴리오   </w:t>
    </w:r>
    <w:r>
      <w:rPr>
        <w:rFonts w:ascii="NanumSquare" w:hAnsi="NanumSquare" w:eastAsia="NanumSquare"/>
        <w:color w:val="657789"/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NanumSquare" w:hAnsi="NanumSquare" w:eastAsia="NanumSquare"/>
        <w:b/>
        <w:color w:val="1F4E79"/>
        <w:sz w:val="14"/>
      </w:rPr>
      <w:t>CATALOGGUARD LITE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NanumSquare" w:hAnsi="NanumSquare" w:eastAsia="NanumSquare"/>
      <w:color w:val="26344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지원용 포트폴리오 7P</dc:title>
  <dc:subject>패션·이커머스 상품 데이터 품질 검수 및 안전한 운영 반영 백엔드</dc:subject>
  <dc:creator>박수용</dc:creator>
  <cp:keywords>Python, FastAPI, PostgreSQL, ETL, Data Quality, Portfolio</cp:keywords>
  <dc:description>2026-08-17 지원용 7페이지 압축본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