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0"/>
        <w:pBdr>
          <w:bottom w:val="single" w:sz="10" w:space="1" w:color="2F6FA3"/>
        </w:pBdr>
      </w:pPr>
      <w:r>
        <w:rPr>
          <w:rFonts w:ascii="NanumSquare" w:hAnsi="NanumSquare" w:eastAsia="NanumSquare"/>
          <w:b/>
          <w:i w:val="0"/>
          <w:color w:val="173A5E"/>
          <w:sz w:val="50"/>
        </w:rPr>
      </w:r>
      <w:r>
        <w:rPr>
          <w:rFonts w:ascii="NanumSquare" w:hAnsi="NanumSquare"/>
          <w:b/>
          <w:sz w:val="50"/>
        </w:rPr>
        <w:t>CATALOGGUARD LITE</w:t>
      </w:r>
    </w:p>
    <w:p>
      <w:pPr>
        <w:pStyle w:val="Subtitle"/>
        <w:spacing w:after="100"/>
      </w:pPr>
      <w:r>
        <w:rPr>
          <w:rFonts w:ascii="NanumSquare" w:hAnsi="NanumSquare" w:eastAsia="NanumSquare"/>
          <w:b/>
          <w:i w:val="0"/>
          <w:color w:val="2F6FA3"/>
          <w:sz w:val="26"/>
        </w:rPr>
      </w:r>
      <w:r>
        <w:rPr>
          <w:rFonts w:ascii="NanumSquare" w:hAnsi="NanumSquare"/>
          <w:b/>
          <w:sz w:val="26"/>
        </w:rPr>
        <w:t>Python·FastAPI 백엔드 / 패션·이커머스 상품 데이터 품질·ETL 프로젝트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8"/>
      </w:tblGrid>
      <w:tr>
        <w:tc>
          <w:tcPr>
            <w:tcW w:type="dxa" w:w="10488"/>
            <w:shd w:fill="EAF3FA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nil"/>
              <w:left w:val="single" w:sz="18" w:color="2F6FA3"/>
              <w:bottom w:val="nil"/>
              <w:right w:val="nil"/>
            </w:tcBorders>
          </w:tcPr>
          <w:p>
            <w:pPr>
              <w:spacing w:before="0" w:after="20" w:line="259" w:lineRule="auto"/>
            </w:pPr>
            <w:r>
              <w:rPr>
                <w:rFonts w:ascii="NanumSquare" w:hAnsi="NanumSquare" w:eastAsia="NanumSquare"/>
                <w:b/>
                <w:i w:val="0"/>
                <w:color w:val="2F6FA3"/>
                <w:sz w:val="18"/>
              </w:rPr>
            </w:r>
            <w:r>
              <w:rPr>
                <w:rFonts w:ascii="NanumSquare" w:hAnsi="NanumSquare" w:eastAsia="NanumSquare"/>
                <w:b w:val="0"/>
                <w:i w:val="0"/>
                <w:color w:val="202B36"/>
                <w:sz w:val="17"/>
              </w:rPr>
            </w:r>
            <w:r>
              <w:rPr>
                <w:rFonts w:ascii="NanumSquare" w:hAnsi="NanumSquare" w:eastAsia="NanumSquare"/>
                <w:b w:val="0"/>
                <w:color w:val="1F2E3D"/>
                <w:sz w:val="16"/>
              </w:rPr>
            </w:r>
            <w:r>
              <w:rPr>
                <w:rFonts w:ascii="NanumSquare" w:hAnsi="NanumSquare"/>
                <w:b/>
                <w:sz w:val="18"/>
              </w:rPr>
              <w:t>프로젝트 한 줄 소개</w:t>
            </w:r>
            <w:r>
              <w:rPr>
                <w:rFonts w:ascii="NanumSquare" w:hAnsi="NanumSquare"/>
                <w:sz w:val="17"/>
              </w:rPr>
              <w:br/>
              <w:t>서로 다른 공급사 CSV를 JSON Profile로 표준화·검수하고 PostgreSQL staging에 적재한 뒤, Preview·승인·Audit·Rollback으로 운영 상품 변경을 보호한 Python·FastAPI 백엔드 프로젝트입니다.</w:t>
            </w:r>
          </w:p>
        </w:tc>
      </w:tr>
    </w:tbl>
    <w:p>
      <w:pPr>
        <w:spacing w:before="60" w:after="40" w:line="259" w:lineRule="auto"/>
      </w:pPr>
      <w:r>
        <w:rPr>
          <w:rFonts w:ascii="NanumSquare" w:hAnsi="NanumSquare" w:eastAsia="NanumSquare"/>
          <w:b/>
          <w:i w:val="0"/>
          <w:color w:val="173A5E"/>
          <w:sz w:val="16"/>
        </w:rPr>
        <w:t>프로젝트 개요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44"/>
        <w:gridCol w:w="5244"/>
      </w:tblGrid>
      <w:tr>
        <w:trPr>
          <w:tblHeader w:val="true"/>
          <w:cantSplit/>
        </w:trPr>
        <w:tc>
          <w:tcPr>
            <w:tcW w:type="dxa" w:w="2778"/>
            <w:shd w:fill="173A5E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i w:val="0"/>
                <w:color w:val="FFFFFF"/>
                <w:sz w:val="16"/>
              </w:rPr>
              <w:t>항목</w:t>
            </w:r>
          </w:p>
        </w:tc>
        <w:tc>
          <w:tcPr>
            <w:tcW w:type="dxa" w:w="7654"/>
            <w:shd w:fill="173A5E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i w:val="0"/>
                <w:color w:val="FFFFFF"/>
                <w:sz w:val="16"/>
              </w:rPr>
              <w:t>내용</w:t>
            </w:r>
          </w:p>
        </w:tc>
      </w:tr>
      <w:tr>
        <w:trPr>
          <w:cantSplit/>
        </w:trPr>
        <w:tc>
          <w:tcPr>
            <w:tcW w:type="dxa" w:w="2778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i w:val="0"/>
                <w:color w:val="173A5E"/>
                <w:sz w:val="16"/>
              </w:rPr>
              <w:t>형태</w:t>
            </w:r>
          </w:p>
        </w:tc>
        <w:tc>
          <w:tcPr>
            <w:tcW w:type="dxa" w:w="7654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</w:r>
            <w:r>
              <w:rPr>
                <w:rFonts w:ascii="NanumSquare" w:hAnsi="NanumSquare" w:eastAsia="NanumSquare"/>
                <w:b w:val="0"/>
                <w:color w:val="1F2E3D"/>
                <w:sz w:val="16"/>
              </w:rPr>
            </w:r>
            <w:r>
              <w:rPr>
                <w:rFonts w:ascii="NanumSquare" w:hAnsi="NanumSquare"/>
                <w:b w:val="0"/>
                <w:sz w:val="16"/>
              </w:rPr>
              <w:t>개인 프로젝트 · 취업 포트폴리오용 MVP (2026.08)</w:t>
            </w:r>
          </w:p>
        </w:tc>
      </w:tr>
      <w:tr>
        <w:trPr>
          <w:cantSplit/>
        </w:trPr>
        <w:tc>
          <w:tcPr>
            <w:tcW w:type="dxa" w:w="2778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i w:val="0"/>
                <w:color w:val="173A5E"/>
                <w:sz w:val="16"/>
              </w:rPr>
              <w:t>담당</w:t>
            </w:r>
          </w:p>
        </w:tc>
        <w:tc>
          <w:tcPr>
            <w:tcW w:type="dxa" w:w="7654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</w:r>
            <w:r>
              <w:rPr>
                <w:rFonts w:ascii="NanumSquare" w:hAnsi="NanumSquare" w:eastAsia="NanumSquare"/>
                <w:b w:val="0"/>
                <w:color w:val="1F2E3D"/>
                <w:sz w:val="16"/>
              </w:rPr>
            </w:r>
            <w:r>
              <w:rPr>
                <w:rFonts w:ascii="NanumSquare" w:hAnsi="NanumSquare"/>
                <w:b w:val="0"/>
                <w:sz w:val="16"/>
              </w:rPr>
              <w:t>상품 검수·ETL·FastAPI API·PostgreSQL·JWT/RBAC·Promotion/Rollback·테스트/CI</w:t>
            </w:r>
          </w:p>
        </w:tc>
      </w:tr>
      <w:tr>
        <w:trPr>
          <w:cantSplit/>
        </w:trPr>
        <w:tc>
          <w:tcPr>
            <w:tcW w:type="dxa" w:w="2778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i w:val="0"/>
                <w:color w:val="173A5E"/>
                <w:sz w:val="16"/>
              </w:rPr>
              <w:t>핵심 기술</w:t>
            </w:r>
          </w:p>
        </w:tc>
        <w:tc>
          <w:tcPr>
            <w:tcW w:type="dxa" w:w="7654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</w:r>
            <w:r>
              <w:rPr>
                <w:rFonts w:ascii="NanumSquare" w:hAnsi="NanumSquare" w:eastAsia="NanumSquare"/>
                <w:b w:val="0"/>
                <w:color w:val="1F2E3D"/>
                <w:sz w:val="16"/>
              </w:rPr>
            </w:r>
            <w:r>
              <w:rPr>
                <w:rFonts w:ascii="NanumSquare" w:hAnsi="NanumSquare"/>
                <w:b w:val="0"/>
                <w:sz w:val="16"/>
              </w:rPr>
              <w:t>Python, FastAPI, PostgreSQL, SQLAlchemy, Alembic, Redis, Celery, pandas</w:t>
            </w:r>
          </w:p>
        </w:tc>
      </w:tr>
      <w:tr>
        <w:trPr>
          <w:cantSplit/>
        </w:trPr>
        <w:tc>
          <w:tcPr>
            <w:tcW w:type="dxa" w:w="2778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i w:val="0"/>
                <w:color w:val="173A5E"/>
                <w:sz w:val="16"/>
              </w:rPr>
            </w:r>
            <w:r>
              <w:rPr>
                <w:rFonts w:ascii="NanumSquare" w:hAnsi="NanumSquare"/>
                <w:b/>
                <w:sz w:val="16"/>
              </w:rPr>
              <w:t>보조·검증</w:t>
            </w:r>
          </w:p>
        </w:tc>
        <w:tc>
          <w:tcPr>
            <w:tcW w:type="dxa" w:w="7654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</w:r>
            <w:r>
              <w:rPr>
                <w:rFonts w:ascii="NanumSquare" w:hAnsi="NanumSquare" w:eastAsia="NanumSquare"/>
                <w:b w:val="0"/>
                <w:color w:val="1F2E3D"/>
                <w:sz w:val="16"/>
              </w:rPr>
            </w:r>
            <w:r>
              <w:rPr>
                <w:rFonts w:ascii="NanumSquare" w:hAnsi="NanumSquare"/>
                <w:b w:val="0"/>
                <w:sz w:val="16"/>
              </w:rPr>
              <w:t>Streamlit, Playwright, Docker, GitHub Actions, AWS, Kubernetes(kind), Terraform(validate/test), Airflow(manual DAG)</w:t>
            </w:r>
          </w:p>
        </w:tc>
      </w:tr>
    </w:tbl>
    <w:p>
      <w:pPr>
        <w:spacing w:before="60" w:after="40" w:line="259" w:lineRule="auto"/>
      </w:pPr>
      <w:r>
        <w:rPr>
          <w:rFonts w:ascii="NanumSquare" w:hAnsi="NanumSquare" w:eastAsia="NanumSquare"/>
          <w:b/>
          <w:i w:val="0"/>
          <w:color w:val="173A5E"/>
          <w:sz w:val="16"/>
        </w:rPr>
        <w:t>핵심 성과</w:t>
      </w:r>
    </w:p>
    <w:p>
      <w:pPr>
        <w:spacing w:after="36"/>
        <w:ind w:left="227" w:hanging="170"/>
      </w:pPr>
      <w:r>
        <w:rPr>
          <w:rFonts w:ascii="NanumSquare" w:hAnsi="NanumSquare" w:eastAsia="NanumSquare"/>
          <w:b/>
          <w:i w:val="0"/>
          <w:color w:val="2F6FA3"/>
          <w:sz w:val="16"/>
        </w:rPr>
      </w:r>
      <w:r>
        <w:rPr>
          <w:rFonts w:ascii="NanumSquare" w:hAnsi="NanumSquare" w:eastAsia="NanumSquare"/>
          <w:b/>
          <w:i w:val="0"/>
          <w:color w:val="173A5E"/>
          <w:sz w:val="16"/>
        </w:rPr>
      </w:r>
      <w:r>
        <w:rPr>
          <w:rFonts w:ascii="NanumSquare" w:hAnsi="NanumSquare" w:eastAsia="NanumSquare"/>
          <w:b w:val="0"/>
          <w:i w:val="0"/>
          <w:color w:val="202B36"/>
          <w:sz w:val="16"/>
        </w:rPr>
      </w:r>
      <w:r>
        <w:rPr>
          <w:rFonts w:ascii="NanumSquare" w:hAnsi="NanumSquare" w:eastAsia="NanumSquare"/>
          <w:b w:val="0"/>
          <w:color w:val="1F2E3D"/>
          <w:sz w:val="16"/>
        </w:rPr>
      </w:r>
      <w:r>
        <w:rPr>
          <w:rFonts w:ascii="NanumSquare" w:hAnsi="NanumSquare"/>
          <w:b w:val="0"/>
          <w:sz w:val="16"/>
        </w:rPr>
        <w:t>• 데이터 품질·ETL — 공급사별 컬럼을 JSON Profile로 공통 스키마에 매핑하고, 필수값·형식·중복·가격·카테고리·개인정보 의심·패션 옵션을 검수해 normal/reject로 분리한 뒤 정상 행만 staging에 적재하였습니다.</w:t>
      </w:r>
    </w:p>
    <w:p>
      <w:pPr>
        <w:spacing w:after="36"/>
        <w:ind w:left="227" w:hanging="170"/>
      </w:pPr>
      <w:r>
        <w:rPr>
          <w:rFonts w:ascii="NanumSquare" w:hAnsi="NanumSquare" w:eastAsia="NanumSquare"/>
          <w:b/>
          <w:i w:val="0"/>
          <w:color w:val="2F6FA3"/>
          <w:sz w:val="16"/>
        </w:rPr>
      </w:r>
      <w:r>
        <w:rPr>
          <w:rFonts w:ascii="NanumSquare" w:hAnsi="NanumSquare" w:eastAsia="NanumSquare"/>
          <w:b/>
          <w:i w:val="0"/>
          <w:color w:val="173A5E"/>
          <w:sz w:val="16"/>
        </w:rPr>
      </w:r>
      <w:r>
        <w:rPr>
          <w:rFonts w:ascii="NanumSquare" w:hAnsi="NanumSquare" w:eastAsia="NanumSquare"/>
          <w:b w:val="0"/>
          <w:i w:val="0"/>
          <w:color w:val="202B36"/>
          <w:sz w:val="16"/>
        </w:rPr>
      </w:r>
      <w:r>
        <w:rPr>
          <w:rFonts w:ascii="NanumSquare" w:hAnsi="NanumSquare" w:eastAsia="NanumSquare"/>
          <w:b w:val="0"/>
          <w:color w:val="1F2E3D"/>
          <w:sz w:val="16"/>
        </w:rPr>
      </w:r>
      <w:r>
        <w:rPr>
          <w:rFonts w:ascii="NanumSquare" w:hAnsi="NanumSquare"/>
          <w:b w:val="0"/>
          <w:sz w:val="16"/>
        </w:rPr>
        <w:t>• DB·트랜잭션 — SHA-256 + profile/version과 DB unique 제약으로 중복 적재를 방어하고, 실제 PostgreSQL Route의 SQLAlchemy autobegin/session.begin 충돌을 재현해 Service가 transaction을 단독 소유하도록 수정하였습니다.</w:t>
      </w:r>
    </w:p>
    <w:p>
      <w:pPr>
        <w:spacing w:after="36"/>
        <w:ind w:left="227" w:hanging="170"/>
      </w:pPr>
      <w:r>
        <w:rPr>
          <w:rFonts w:ascii="NanumSquare" w:hAnsi="NanumSquare" w:eastAsia="NanumSquare"/>
          <w:b/>
          <w:i w:val="0"/>
          <w:color w:val="2F6FA3"/>
          <w:sz w:val="16"/>
        </w:rPr>
      </w:r>
      <w:r>
        <w:rPr>
          <w:rFonts w:ascii="NanumSquare" w:hAnsi="NanumSquare" w:eastAsia="NanumSquare"/>
          <w:b/>
          <w:i w:val="0"/>
          <w:color w:val="173A5E"/>
          <w:sz w:val="16"/>
        </w:rPr>
      </w:r>
      <w:r>
        <w:rPr>
          <w:rFonts w:ascii="NanumSquare" w:hAnsi="NanumSquare" w:eastAsia="NanumSquare"/>
          <w:b w:val="0"/>
          <w:i w:val="0"/>
          <w:color w:val="202B36"/>
          <w:sz w:val="16"/>
        </w:rPr>
      </w:r>
      <w:r>
        <w:rPr>
          <w:rFonts w:ascii="NanumSquare" w:hAnsi="NanumSquare" w:eastAsia="NanumSquare"/>
          <w:b w:val="0"/>
          <w:color w:val="1F2E3D"/>
          <w:sz w:val="16"/>
        </w:rPr>
      </w:r>
      <w:r>
        <w:rPr>
          <w:rFonts w:ascii="NanumSquare" w:hAnsi="NanumSquare"/>
          <w:b w:val="0"/>
          <w:sz w:val="16"/>
        </w:rPr>
        <w:t>• 운영 안전성 — operator RBAC, Preview Hash 재검증, 단일 transaction Promotion을 적용하고 최신 변경 충돌을 검사하는 Rollback과 실행·상품 단위 Audit으로 변경 이력을 추적합니다.</w:t>
      </w:r>
    </w:p>
    <w:p>
      <w:pPr>
        <w:spacing w:after="36"/>
        <w:ind w:left="227" w:hanging="170"/>
      </w:pPr>
      <w:r>
        <w:rPr>
          <w:rFonts w:ascii="NanumSquare" w:hAnsi="NanumSquare" w:eastAsia="NanumSquare"/>
          <w:b/>
          <w:i w:val="0"/>
          <w:color w:val="2F6FA3"/>
          <w:sz w:val="16"/>
        </w:rPr>
      </w:r>
      <w:r>
        <w:rPr>
          <w:rFonts w:ascii="NanumSquare" w:hAnsi="NanumSquare" w:eastAsia="NanumSquare"/>
          <w:b/>
          <w:i w:val="0"/>
          <w:color w:val="173A5E"/>
          <w:sz w:val="16"/>
        </w:rPr>
      </w:r>
      <w:r>
        <w:rPr>
          <w:rFonts w:ascii="NanumSquare" w:hAnsi="NanumSquare" w:eastAsia="NanumSquare"/>
          <w:b w:val="0"/>
          <w:i w:val="0"/>
          <w:color w:val="202B36"/>
          <w:sz w:val="16"/>
        </w:rPr>
      </w:r>
      <w:r>
        <w:rPr>
          <w:rFonts w:ascii="NanumSquare" w:hAnsi="NanumSquare" w:eastAsia="NanumSquare"/>
          <w:b w:val="0"/>
          <w:color w:val="1F2E3D"/>
          <w:sz w:val="16"/>
        </w:rPr>
      </w:r>
      <w:r>
        <w:rPr>
          <w:rFonts w:ascii="NanumSquare" w:hAnsi="NanumSquare"/>
          <w:b w:val="0"/>
          <w:sz w:val="16"/>
        </w:rPr>
        <w:t>• 테스트·CI — 실제 PostgreSQL 회귀 테스트와 Chromium E2E(Reject masking, Promotion→Audit→Rollback)를 자동화하고 GitHub Actions 5개 job에서 일반 테스트·브라우저·인프라 검증을 분리하였습니다.</w:t>
      </w:r>
    </w:p>
    <w:p>
      <w:pPr>
        <w:spacing w:after="0"/>
        <w:ind w:left="227" w:hanging="170"/>
      </w:pPr>
      <w:r>
        <w:rPr>
          <w:rFonts w:ascii="NanumSquare" w:hAnsi="NanumSquare" w:eastAsia="NanumSquare"/>
          <w:b/>
          <w:i w:val="0"/>
          <w:color w:val="2F6FA3"/>
          <w:sz w:val="16"/>
        </w:rPr>
      </w:r>
      <w:r>
        <w:rPr>
          <w:rFonts w:ascii="NanumSquare" w:hAnsi="NanumSquare" w:eastAsia="NanumSquare"/>
          <w:b/>
          <w:i w:val="0"/>
          <w:color w:val="173A5E"/>
          <w:sz w:val="16"/>
        </w:rPr>
      </w:r>
      <w:r>
        <w:rPr>
          <w:rFonts w:ascii="NanumSquare" w:hAnsi="NanumSquare" w:eastAsia="NanumSquare"/>
          <w:b w:val="0"/>
          <w:i w:val="0"/>
          <w:color w:val="202B36"/>
          <w:sz w:val="16"/>
        </w:rPr>
      </w:r>
      <w:r>
        <w:rPr>
          <w:rFonts w:ascii="NanumSquare" w:hAnsi="NanumSquare" w:eastAsia="NanumSquare"/>
          <w:b w:val="0"/>
          <w:color w:val="1F2E3D"/>
          <w:sz w:val="16"/>
        </w:rPr>
      </w:r>
      <w:r>
        <w:rPr>
          <w:rFonts w:ascii="NanumSquare" w:hAnsi="NanumSquare"/>
          <w:b w:val="0"/>
          <w:sz w:val="16"/>
        </w:rPr>
      </w:r>
    </w:p>
    <w:p>
      <w:pPr>
        <w:spacing w:before="40" w:after="40" w:line="259" w:lineRule="auto"/>
      </w:pPr>
      <w:r>
        <w:rPr>
          <w:rFonts w:ascii="NanumSquare" w:hAnsi="NanumSquare" w:eastAsia="NanumSquare"/>
          <w:b/>
          <w:i w:val="0"/>
          <w:color w:val="173A5E"/>
          <w:sz w:val="16"/>
        </w:rPr>
        <w:t>검증된 현재 상태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22"/>
        <w:gridCol w:w="2622"/>
        <w:gridCol w:w="2622"/>
        <w:gridCol w:w="2622"/>
      </w:tblGrid>
      <w:tr>
        <w:tc>
          <w:tcPr>
            <w:tcW w:type="dxa" w:w="2608"/>
            <w:shd w:fill="EAF6F2"/>
            <w:tcMar>
              <w:top w:w="100" w:type="dxa"/>
              <w:start w:w="80" w:type="dxa"/>
              <w:bottom w:w="90" w:type="dxa"/>
              <w:end w:w="80" w:type="dxa"/>
            </w:tcMar>
            <w:tcBorders>
              <w:top w:val="single" w:sz="5" w:color="2F7D6A"/>
              <w:left w:val="single" w:sz="5" w:color="2F7D6A"/>
              <w:bottom w:val="single" w:sz="5" w:color="2F7D6A"/>
              <w:right w:val="single" w:sz="5" w:color="2F7D6A"/>
            </w:tcBorders>
          </w:tcPr>
          <w:p>
            <w:pPr>
              <w:spacing w:after="20"/>
              <w:jc w:val="center"/>
            </w:pPr>
            <w:r>
              <w:rPr>
                <w:rFonts w:ascii="NanumSquare" w:hAnsi="NanumSquare" w:eastAsia="NanumSquare"/>
                <w:b/>
                <w:i w:val="0"/>
                <w:color w:val="2F7D6A"/>
                <w:sz w:val="26"/>
              </w:rPr>
            </w:r>
            <w:r>
              <w:rPr>
                <w:rFonts w:ascii="NanumSquare" w:hAnsi="NanumSquare" w:eastAsia="NanumSquare"/>
                <w:b w:val="0"/>
                <w:color w:val="1F2E3D"/>
                <w:sz w:val="16"/>
              </w:rPr>
            </w:r>
            <w:r>
              <w:rPr>
                <w:rFonts w:ascii="NanumSquare" w:hAnsi="NanumSquare"/>
                <w:b w:val="0"/>
                <w:sz w:val="16"/>
              </w:rPr>
              <w:t>1923 passed</w:t>
              <w:br/>
              <w:t>2 skipped · 5 deselected</w:t>
            </w:r>
          </w:p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i w:val="0"/>
                <w:color w:val="66737F"/>
                <w:sz w:val="15"/>
              </w:rPr>
            </w:r>
          </w:p>
        </w:tc>
        <w:tc>
          <w:tcPr>
            <w:tcW w:type="dxa" w:w="2608"/>
            <w:shd w:fill="EAF3FA"/>
            <w:tcMar>
              <w:top w:w="100" w:type="dxa"/>
              <w:start w:w="80" w:type="dxa"/>
              <w:bottom w:w="90" w:type="dxa"/>
              <w:end w:w="80" w:type="dxa"/>
            </w:tcMar>
            <w:tcBorders>
              <w:top w:val="single" w:sz="5" w:color="2F6FA3"/>
              <w:left w:val="single" w:sz="5" w:color="2F6FA3"/>
              <w:bottom w:val="single" w:sz="5" w:color="2F6FA3"/>
              <w:right w:val="single" w:sz="5" w:color="2F6FA3"/>
            </w:tcBorders>
          </w:tcPr>
          <w:p>
            <w:pPr>
              <w:spacing w:after="20"/>
              <w:jc w:val="center"/>
            </w:pPr>
            <w:r>
              <w:rPr>
                <w:rFonts w:ascii="NanumSquare" w:hAnsi="NanumSquare" w:eastAsia="NanumSquare"/>
                <w:b/>
                <w:i w:val="0"/>
                <w:color w:val="2F6FA3"/>
                <w:sz w:val="26"/>
              </w:rPr>
            </w:r>
            <w:r>
              <w:rPr>
                <w:rFonts w:ascii="NanumSquare" w:hAnsi="NanumSquare" w:eastAsia="NanumSquare"/>
                <w:b w:val="0"/>
                <w:color w:val="1F2E3D"/>
                <w:sz w:val="16"/>
              </w:rPr>
            </w:r>
            <w:r>
              <w:rPr>
                <w:rFonts w:ascii="NanumSquare" w:hAnsi="NanumSquare"/>
                <w:b w:val="0"/>
                <w:sz w:val="16"/>
              </w:rPr>
              <w:t>Chromium E2E 2개</w:t>
              <w:br/>
              <w:t>Reject + Promotion/Rollback</w:t>
            </w:r>
          </w:p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i w:val="0"/>
                <w:color w:val="66737F"/>
                <w:sz w:val="15"/>
              </w:rPr>
            </w:r>
          </w:p>
        </w:tc>
        <w:tc>
          <w:tcPr>
            <w:tcW w:type="dxa" w:w="2608"/>
            <w:shd w:fill="FFF3E7"/>
            <w:tcMar>
              <w:top w:w="100" w:type="dxa"/>
              <w:start w:w="80" w:type="dxa"/>
              <w:bottom w:w="90" w:type="dxa"/>
              <w:end w:w="80" w:type="dxa"/>
            </w:tcMar>
            <w:tcBorders>
              <w:top w:val="single" w:sz="5" w:color="C96F18"/>
              <w:left w:val="single" w:sz="5" w:color="C96F18"/>
              <w:bottom w:val="single" w:sz="5" w:color="C96F18"/>
              <w:right w:val="single" w:sz="5" w:color="C96F18"/>
            </w:tcBorders>
          </w:tcPr>
          <w:p>
            <w:pPr>
              <w:spacing w:after="20"/>
              <w:jc w:val="center"/>
            </w:pPr>
            <w:r>
              <w:rPr>
                <w:rFonts w:ascii="NanumSquare" w:hAnsi="NanumSquare" w:eastAsia="NanumSquare"/>
                <w:b/>
                <w:i w:val="0"/>
                <w:color w:val="C96F18"/>
                <w:sz w:val="26"/>
              </w:rPr>
            </w:r>
            <w:r>
              <w:rPr>
                <w:rFonts w:ascii="NanumSquare" w:hAnsi="NanumSquare" w:eastAsia="NanumSquare"/>
                <w:b w:val="0"/>
                <w:color w:val="1F2E3D"/>
                <w:sz w:val="16"/>
              </w:rPr>
            </w:r>
            <w:r>
              <w:rPr>
                <w:rFonts w:ascii="NanumSquare" w:hAnsi="NanumSquare"/>
                <w:b w:val="0"/>
                <w:sz w:val="16"/>
              </w:rPr>
              <w:t>CI 5/5 success</w:t>
              <w:br/>
              <w:t>test · browser-e2e · infra</w:t>
            </w:r>
          </w:p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i w:val="0"/>
                <w:color w:val="66737F"/>
                <w:sz w:val="15"/>
              </w:rPr>
            </w:r>
          </w:p>
        </w:tc>
        <w:tc>
          <w:tcPr>
            <w:tcW w:type="dxa" w:w="2608"/>
            <w:shd w:fill="FCEEEE"/>
            <w:tcMar>
              <w:top w:w="100" w:type="dxa"/>
              <w:start w:w="80" w:type="dxa"/>
              <w:bottom w:w="90" w:type="dxa"/>
              <w:end w:w="80" w:type="dxa"/>
            </w:tcMar>
            <w:tcBorders>
              <w:top w:val="single" w:sz="5" w:color="B44B4B"/>
              <w:left w:val="single" w:sz="5" w:color="B44B4B"/>
              <w:bottom w:val="single" w:sz="5" w:color="B44B4B"/>
              <w:right w:val="single" w:sz="5" w:color="B44B4B"/>
            </w:tcBorders>
          </w:tcPr>
          <w:p>
            <w:pPr>
              <w:spacing w:after="20"/>
              <w:jc w:val="center"/>
            </w:pPr>
            <w:r>
              <w:rPr>
                <w:rFonts w:ascii="NanumSquare" w:hAnsi="NanumSquare" w:eastAsia="NanumSquare"/>
                <w:b/>
                <w:i w:val="0"/>
                <w:color w:val="B44B4B"/>
                <w:sz w:val="26"/>
              </w:rPr>
            </w:r>
            <w:r>
              <w:rPr>
                <w:rFonts w:ascii="NanumSquare" w:hAnsi="NanumSquare" w:eastAsia="NanumSquare"/>
                <w:b w:val="0"/>
                <w:color w:val="1F2E3D"/>
                <w:sz w:val="16"/>
              </w:rPr>
            </w:r>
            <w:r>
              <w:rPr>
                <w:rFonts w:ascii="NanumSquare" w:hAnsi="NanumSquare"/>
                <w:b w:val="0"/>
                <w:sz w:val="16"/>
              </w:rPr>
              <w:t>main ffa20af…</w:t>
              <w:br/>
              <w:t>Run 31945356223</w:t>
            </w:r>
          </w:p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i w:val="0"/>
                <w:color w:val="66737F"/>
                <w:sz w:val="15"/>
              </w:rPr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44"/>
        <w:gridCol w:w="5244"/>
      </w:tblGrid>
      <w:tr>
        <w:tc>
          <w:tcPr>
            <w:tcW w:type="dxa" w:w="5216"/>
            <w:shd w:fill="EAF3FA"/>
            <w:tcMar>
              <w:top w:w="80" w:type="dxa"/>
              <w:start w:w="90" w:type="dxa"/>
              <w:bottom w:w="75" w:type="dxa"/>
              <w:end w:w="90" w:type="dxa"/>
            </w:tcMar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40"/>
            </w:pPr>
            <w:r>
              <w:rPr>
                <w:rFonts w:ascii="NanumSquare" w:hAnsi="NanumSquare" w:eastAsia="NanumSquare"/>
                <w:b/>
                <w:i w:val="0"/>
                <w:color w:val="2F6FA3"/>
                <w:sz w:val="17"/>
              </w:rPr>
            </w:r>
            <w:r>
              <w:rPr>
                <w:rFonts w:ascii="NanumSquare" w:hAnsi="NanumSquare" w:eastAsia="NanumSquare"/>
                <w:b w:val="0"/>
                <w:color w:val="1F2E3D"/>
                <w:sz w:val="16"/>
              </w:rPr>
            </w:r>
            <w:r>
              <w:rPr>
                <w:rFonts w:ascii="NanumSquare" w:hAnsi="NanumSquare"/>
                <w:b w:val="0"/>
                <w:sz w:val="16"/>
              </w:rPr>
            </w:r>
            <w:r>
              <w:rPr>
                <w:rFonts w:ascii="NanumSquare" w:hAnsi="NanumSquare"/>
                <w:b/>
                <w:sz w:val="17"/>
              </w:rPr>
              <w:t>대표 문제 해결 경험</w:t>
              <w:br/>
            </w:r>
            <w:r>
              <w:rPr>
                <w:rFonts w:ascii="NanumSquare" w:hAnsi="NanumSquare"/>
                <w:sz w:val="16"/>
              </w:rPr>
              <w:t>• 증상: 전체 테스트 통과 상태에서도 실제 PostgreSQL 동기 검수 Route가 HTTP 500 발생</w:t>
              <w:br/>
              <w:t>• 원인: precheck SELECT가 autobegin transaction을 열고, 같은 Session에서 Service의 session.begin()이 충돌</w:t>
              <w:br/>
              <w:t>• 수정: 사전 조회 Session을 분리하고 Service를 유일한 transaction owner로 정리</w:t>
              <w:br/>
              <w:t>• 검증: 실제 PostgreSQL route-level regression test로 재발 방지</w:t>
            </w:r>
          </w:p>
          <w:p>
            <w:pPr>
              <w:spacing w:after="14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5"/>
              </w:rPr>
            </w:r>
          </w:p>
          <w:p>
            <w:pPr>
              <w:spacing w:after="14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5"/>
              </w:rPr>
            </w:r>
          </w:p>
          <w:p>
            <w:pPr>
              <w:spacing w:after="14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5"/>
              </w:rPr>
            </w:r>
          </w:p>
          <w:p>
            <w:pPr>
              <w:spacing w:after="14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5"/>
              </w:rPr>
            </w:r>
          </w:p>
          <w:p>
            <w:pPr>
              <w:spacing w:after="14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5"/>
              </w:rPr>
            </w:r>
          </w:p>
        </w:tc>
        <w:tc>
          <w:tcPr>
            <w:tcW w:type="dxa" w:w="5216"/>
            <w:shd w:fill="FFF3E7"/>
            <w:tcMar>
              <w:top w:w="80" w:type="dxa"/>
              <w:start w:w="90" w:type="dxa"/>
              <w:bottom w:w="75" w:type="dxa"/>
              <w:end w:w="90" w:type="dxa"/>
            </w:tcMar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40"/>
            </w:pPr>
            <w:r>
              <w:rPr>
                <w:rFonts w:ascii="NanumSquare" w:hAnsi="NanumSquare" w:eastAsia="NanumSquare"/>
                <w:b/>
                <w:i w:val="0"/>
                <w:color w:val="C96F18"/>
                <w:sz w:val="17"/>
              </w:rPr>
            </w:r>
            <w:r>
              <w:rPr>
                <w:rFonts w:ascii="NanumSquare" w:hAnsi="NanumSquare" w:eastAsia="NanumSquare"/>
                <w:b w:val="0"/>
                <w:color w:val="1F2E3D"/>
                <w:sz w:val="16"/>
              </w:rPr>
            </w:r>
            <w:r>
              <w:rPr>
                <w:rFonts w:ascii="NanumSquare" w:hAnsi="NanumSquare"/>
                <w:b w:val="0"/>
                <w:sz w:val="16"/>
              </w:rPr>
            </w:r>
            <w:r>
              <w:rPr>
                <w:rFonts w:ascii="NanumSquare" w:hAnsi="NanumSquare"/>
                <w:b/>
                <w:sz w:val="17"/>
              </w:rPr>
              <w:t>현재 범위·한계</w:t>
              <w:br/>
            </w:r>
            <w:r>
              <w:rPr>
                <w:rFonts w:ascii="NanumSquare" w:hAnsi="NanumSquare"/>
                <w:sz w:val="16"/>
              </w:rPr>
              <w:t>• Web ETL은 동기·단일 CSV 중심, Airflow HTTP feed는 manual trigger</w:t>
              <w:br/>
              <w:t>• Terraform은 validate/mock test까지이며 CI에서 실제 AWS apply는 하지 않음</w:t>
              <w:br/>
              <w:t>• Kubernetes는 kind smoke 기준으로 production autoscaling·장애복구 운영은 미검증</w:t>
              <w:br/>
              <w:t>• Refresh Token·OAuth/MFA·rate limit 미구현, 대규모 동시 트래픽 부하 시험 미실시</w:t>
            </w:r>
          </w:p>
          <w:p>
            <w:pPr>
              <w:spacing w:after="14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5"/>
              </w:rPr>
            </w:r>
          </w:p>
          <w:p>
            <w:pPr>
              <w:spacing w:after="14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5"/>
              </w:rPr>
            </w:r>
          </w:p>
          <w:p>
            <w:pPr>
              <w:spacing w:after="14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5"/>
              </w:rPr>
            </w:r>
          </w:p>
          <w:p>
            <w:pPr>
              <w:spacing w:after="14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5"/>
              </w:rPr>
            </w:r>
          </w:p>
        </w:tc>
      </w:tr>
    </w:tbl>
    <w:p>
      <w:pPr>
        <w:spacing w:before="80" w:after="0"/>
      </w:pPr>
      <w:r>
        <w:rPr>
          <w:rFonts w:ascii="NanumSquare" w:hAnsi="NanumSquare" w:eastAsia="NanumSquare"/>
          <w:b/>
          <w:i w:val="0"/>
          <w:color w:val="173A5E"/>
          <w:sz w:val="17"/>
        </w:rPr>
        <w:t xml:space="preserve">GitHub  </w:t>
      </w:r>
      <w:hyperlink r:id="rId11">
        <w:r>
          <w:rPr>
            <w:color w:val="2F6FA3"/>
            <w:u w:val="single"/>
            <w:rFonts w:ascii="NanumSquare" w:hAnsi="NanumSquare" w:eastAsia="NanumSquare"/>
            <w:sz w:val="17"/>
          </w:rPr>
          <w:t>psy0635-ctrl/catalogguard-lite</w:t>
        </w:r>
      </w:hyperlink>
      <w:r>
        <w:rPr>
          <w:rFonts w:ascii="NanumSquare" w:hAnsi="NanumSquare" w:eastAsia="NanumSquare"/>
          <w:b/>
          <w:i w:val="0"/>
          <w:color w:val="173A5E"/>
          <w:sz w:val="17"/>
        </w:rPr>
        <w:t xml:space="preserve">    Demo  </w:t>
      </w:r>
      <w:hyperlink r:id="rId12">
        <w:r>
          <w:rPr>
            <w:color w:val="2F6FA3"/>
            <w:u w:val="single"/>
            <w:rFonts w:ascii="NanumSquare" w:hAnsi="NanumSquare" w:eastAsia="NanumSquare"/>
            <w:sz w:val="17"/>
          </w:rPr>
          <w:t>CatalogGuard Lite Streamlit 앱</w:t>
        </w:r>
      </w:hyperlink>
    </w:p>
    <w:sectPr w:rsidR="00FC693F" w:rsidRPr="0006063C" w:rsidSect="00034616">
      <w:headerReference w:type="default" r:id="rId9"/>
      <w:footerReference w:type="default" r:id="rId10"/>
      <w:pgSz w:w="11906" w:h="16838"/>
      <w:pgMar w:top="624" w:right="709" w:bottom="567" w:left="70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NanumSquare" w:hAnsi="NanumSquare" w:eastAsia="NanumSquare"/>
        <w:b w:val="0"/>
        <w:i w:val="0"/>
        <w:color w:val="66737F"/>
        <w:sz w:val="15"/>
      </w:rPr>
      <w:t xml:space="preserve">CatalogGuard Lite Resume | </w:t>
    </w:r>
    <w:r>
      <w:rPr>
        <w:rFonts w:ascii="NanumSquare" w:hAnsi="NanumSquare" w:eastAsia="NanumSquare"/>
        <w:b w:val="0"/>
        <w:i w:val="0"/>
        <w:color w:val="66737F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NanumSquare" w:hAnsi="NanumSquare" w:eastAsia="NanumSquare"/>
        <w:b w:val="0"/>
        <w:i w:val="0"/>
        <w:color w:val="66737F"/>
        <w:sz w:val="15"/>
      </w:rPr>
      <w:t>박수용 | Python·FastAPI 백엔드 프로젝트 이력서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NanumSquare" w:hAnsi="NanumSquare" w:eastAsia="NanumSquare"/>
      <w:color w:val="202B36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00"/>
      <w:outlineLvl w:val="0"/>
    </w:pPr>
    <w:rPr>
      <w:rFonts w:asciiTheme="majorHAnsi" w:eastAsiaTheme="majorEastAsia" w:hAnsiTheme="majorHAnsi" w:cstheme="majorBidi" w:ascii="NanumSquare" w:hAnsi="NanumSquare" w:eastAsia="NanumSquare"/>
      <w:b/>
      <w:bCs/>
      <w:color w:val="173A5E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100"/>
      <w:outlineLvl w:val="1"/>
    </w:pPr>
    <w:rPr>
      <w:rFonts w:asciiTheme="majorHAnsi" w:eastAsiaTheme="majorEastAsia" w:hAnsiTheme="majorHAnsi" w:cstheme="majorBidi" w:ascii="NanumSquare" w:hAnsi="NanumSquare" w:eastAsia="NanumSquare"/>
      <w:b/>
      <w:bCs/>
      <w:color w:val="173A5E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NanumSquare" w:hAnsi="NanumSquare" w:eastAsia="NanumSquare"/>
      <w:b/>
      <w:color w:val="173A5E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80"/>
    </w:pPr>
    <w:rPr>
      <w:rFonts w:asciiTheme="majorHAnsi" w:eastAsiaTheme="majorEastAsia" w:hAnsiTheme="majorHAnsi" w:cstheme="majorBidi" w:ascii="NanumSquare" w:hAnsi="NanumSquare" w:eastAsia="NanumSquare"/>
      <w:b/>
      <w:i/>
      <w:iCs/>
      <w:color w:val="2F6FA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psy0635-ctrl/catalogguard-lite" TargetMode="External"/><Relationship Id="rId12" Type="http://schemas.openxmlformats.org/officeDocument/2006/relationships/hyperlink" Target="https://catalogguard-lite-p6jtwmdhwqcapphpghfzduo.streamlit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CatalogGuard Lite 프로젝트 이력서</dc:title>
  <dc:subject>Python·FastAPI 백엔드 프로젝트</dc:subject>
  <dc:creator>박수용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