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MetaKV supplementary methods and evidence</w:t>
      </w:r>
    </w:p>
    <w:p>
      <w:r>
        <w:t>This supplement describes the frozen metadata and replay methods, documents execution provenance, and reports the existing packed-kernel sensitivity measurements. The measurements support platform-dependent kernel cost; they do not establish end-to-end serving performance or hardware fault incidence.</w:t>
      </w:r>
    </w:p>
    <w:p>
      <w:pPr>
        <w:pStyle w:val="Heading1"/>
      </w:pPr>
      <w:r>
        <w:t>S1 Metadata and replay methods</w:t>
      </w:r>
    </w:p>
    <w:p>
      <w:r>
        <w:t>Each group contains 32 signed INT4 values and one positive scale. HA-FBMS stores a coarse thermometer field and a binary fine field in 32 metadata bits; its decoder uses popcount rather than requiring a valid thermometer prefix after a fault. The manuscript equations specify the frozen codec. Model-specific log-scale intervals are [-13,3] for Llama-3.1-8B, [-11,5] for Qwen3-14B, and [-13,5] for Qwen3-32B, with zero observed clipping. The corresponding scale populations contain 276,480, 317,440, and 507,904 groups. The original full-cache replay performs one next-token step; the AMD P8 extension follows the same frozen logical locations for 32 steps. Selected metadata faults are conditional logical tests, not samples of a physical fault process.</w:t>
      </w:r>
    </w:p>
    <w:p>
      <w:pPr>
        <w:pStyle w:val="Heading1"/>
      </w:pPr>
      <w:r>
        <w:t>S2 Deployment protocol</w:t>
      </w:r>
    </w:p>
    <w:p>
      <w:r>
        <w:t>Correctness is checked before timing. Workloads contain 1,048,576 or 4,194,304 groups, with 32 values per group. Each configuration uses 30 warmup launches, 15 paired blocks, 100 launches per block, and 10,000 bootstrap resamples. The reported percentage is the median of paired block-level mapped-versus-FP32 differences, not a ratio of independent aggregate medians. Confidence intervals are the archived bootstrap intervals, without new significance tests. Each execution-platform summary contains eight configuration/workload rows and 120 paired block rows. Table S1 gives the post-freeze Linux sensitivity; Table S2 reports the largest workload across execution platforms.</w:t>
      </w:r>
    </w:p>
    <w:p>
      <w:pPr>
        <w:pStyle w:val="Heading1"/>
      </w:pPr>
      <w:r>
        <w:t>S3 Linux RTX 5080 sensitivity</w:t>
      </w:r>
    </w:p>
    <w:p>
      <w:r>
        <w:t>Execution platform is RTX5080_LINUX_H800_LIKE; execution GPU is NVIDIA GeForce RTX 5080. Runtime records identify driver 580.82.07, Python 3.12.3, PyTorch 2.12.1+cu130, CUDA 13.0, and Triton 3.7.1. Ubuntu 22.04.5 and kernel 5.15.0-78 are from the supplied execution record. The same physical GPU is author-reported; the logs verify the model, not a shared serial identifier. This is not a strict OS-only A/B comparison. The maximum absolute mapped-versus-FP32 median is 0.168554942360% at 4,194,304 groups and 134,217,728 values. Negative timing differences do not imply acceleration. Three of the four intervals exclude zero, despite very small magnitudes; this is not a universal zero-overhead result.</w:t>
      </w:r>
    </w:p>
    <w:p>
      <w:pPr>
        <w:pStyle w:val="Caption"/>
      </w:pPr>
      <w:r>
        <w:t>Table S1. Linux RTX 5080 sensitivity at the largest workload</w:t>
      </w:r>
    </w:p>
    <w:tbl>
      <w:tblPr>
        <w:tblStyle w:val="TableGrid"/>
        <w:tblW w:type="auto" w:w="0"/>
        <w:tblLook w:firstColumn="1" w:firstRow="1" w:lastColumn="0" w:lastRow="0" w:noHBand="0" w:noVBand="1" w:val="04A0"/>
        <w:tblBorders>
          <w:left w:val="nil"/>
          <w:right w:val="nil"/>
          <w:insideV w:val="nil"/>
        </w:tblBorders>
      </w:tblPr>
      <w:tblGrid>
        <w:gridCol w:w="2484"/>
        <w:gridCol w:w="2484"/>
        <w:gridCol w:w="2484"/>
        <w:gridCol w:w="2484"/>
      </w:tblGrid>
      <w:tr>
        <w:trPr>
          <w:cantSplit/>
          <w:tblHeader/>
        </w:trPr>
        <w:tc>
          <w:tcPr>
            <w:tcW w:type="dxa" w:w="2484"/>
          </w:tcPr>
          <w:p>
            <w:r>
              <w:rPr>
                <w:sz w:val="20"/>
              </w:rPr>
              <w:t>Representation</w:t>
            </w:r>
          </w:p>
        </w:tc>
        <w:tc>
          <w:tcPr>
            <w:tcW w:type="dxa" w:w="2484"/>
          </w:tcPr>
          <w:p>
            <w:r>
              <w:rPr>
                <w:sz w:val="20"/>
              </w:rPr>
              <w:t>Bc/Bf</w:t>
            </w:r>
          </w:p>
        </w:tc>
        <w:tc>
          <w:tcPr>
            <w:tcW w:type="dxa" w:w="2484"/>
          </w:tcPr>
          <w:p>
            <w:r>
              <w:rPr>
                <w:sz w:val="20"/>
              </w:rPr>
              <w:t>Median (%)</w:t>
            </w:r>
          </w:p>
        </w:tc>
        <w:tc>
          <w:tcPr>
            <w:tcW w:type="dxa" w:w="2484"/>
          </w:tcPr>
          <w:p>
            <w:r>
              <w:rPr>
                <w:sz w:val="20"/>
              </w:rPr>
              <w:t>95% CI (%)</w:t>
            </w:r>
          </w:p>
        </w:tc>
      </w:tr>
      <w:tr>
        <w:trPr>
          <w:cantSplit/>
        </w:trPr>
        <w:tc>
          <w:tcPr>
            <w:tcW w:type="dxa" w:w="2484"/>
          </w:tcPr>
          <w:p>
            <w:r>
              <w:rPr>
                <w:sz w:val="20"/>
              </w:rPr>
              <w:t>REP_0008</w:t>
            </w:r>
          </w:p>
        </w:tc>
        <w:tc>
          <w:tcPr>
            <w:tcW w:type="dxa" w:w="2484"/>
          </w:tcPr>
          <w:p>
            <w:r>
              <w:rPr>
                <w:sz w:val="20"/>
              </w:rPr>
              <w:t>14/18</w:t>
            </w:r>
          </w:p>
        </w:tc>
        <w:tc>
          <w:tcPr>
            <w:tcW w:type="dxa" w:w="2484"/>
          </w:tcPr>
          <w:p>
            <w:r>
              <w:rPr>
                <w:sz w:val="20"/>
              </w:rPr>
              <w:t>+0.072469</w:t>
            </w:r>
          </w:p>
        </w:tc>
        <w:tc>
          <w:tcPr>
            <w:tcW w:type="dxa" w:w="2484"/>
          </w:tcPr>
          <w:p>
            <w:r>
              <w:rPr>
                <w:sz w:val="20"/>
              </w:rPr>
              <w:t>[+0.020975, +0.128995]</w:t>
            </w:r>
          </w:p>
        </w:tc>
      </w:tr>
      <w:tr>
        <w:trPr>
          <w:cantSplit/>
        </w:trPr>
        <w:tc>
          <w:tcPr>
            <w:tcW w:type="dxa" w:w="2484"/>
          </w:tcPr>
          <w:p>
            <w:r>
              <w:rPr>
                <w:sz w:val="20"/>
              </w:rPr>
              <w:t>REP_0025</w:t>
            </w:r>
          </w:p>
        </w:tc>
        <w:tc>
          <w:tcPr>
            <w:tcW w:type="dxa" w:w="2484"/>
          </w:tcPr>
          <w:p>
            <w:r>
              <w:rPr>
                <w:sz w:val="20"/>
              </w:rPr>
              <w:t>19/13</w:t>
            </w:r>
          </w:p>
        </w:tc>
        <w:tc>
          <w:tcPr>
            <w:tcW w:type="dxa" w:w="2484"/>
          </w:tcPr>
          <w:p>
            <w:r>
              <w:rPr>
                <w:sz w:val="20"/>
              </w:rPr>
              <w:t>+0.168555</w:t>
            </w:r>
          </w:p>
        </w:tc>
        <w:tc>
          <w:tcPr>
            <w:tcW w:type="dxa" w:w="2484"/>
          </w:tcPr>
          <w:p>
            <w:r>
              <w:rPr>
                <w:sz w:val="20"/>
              </w:rPr>
              <w:t>[+0.149584, +0.239737]</w:t>
            </w:r>
          </w:p>
        </w:tc>
      </w:tr>
      <w:tr>
        <w:trPr>
          <w:cantSplit/>
        </w:trPr>
        <w:tc>
          <w:tcPr>
            <w:tcW w:type="dxa" w:w="2484"/>
          </w:tcPr>
          <w:p>
            <w:r>
              <w:rPr>
                <w:sz w:val="20"/>
              </w:rPr>
              <w:t>REP_0026</w:t>
            </w:r>
          </w:p>
        </w:tc>
        <w:tc>
          <w:tcPr>
            <w:tcW w:type="dxa" w:w="2484"/>
          </w:tcPr>
          <w:p>
            <w:r>
              <w:rPr>
                <w:sz w:val="20"/>
              </w:rPr>
              <w:t>22/10</w:t>
            </w:r>
          </w:p>
        </w:tc>
        <w:tc>
          <w:tcPr>
            <w:tcW w:type="dxa" w:w="2484"/>
          </w:tcPr>
          <w:p>
            <w:r>
              <w:rPr>
                <w:sz w:val="20"/>
              </w:rPr>
              <w:t>-0.089114</w:t>
            </w:r>
          </w:p>
        </w:tc>
        <w:tc>
          <w:tcPr>
            <w:tcW w:type="dxa" w:w="2484"/>
          </w:tcPr>
          <w:p>
            <w:r>
              <w:rPr>
                <w:sz w:val="20"/>
              </w:rPr>
              <w:t>[-0.105037, -0.066795]</w:t>
            </w:r>
          </w:p>
        </w:tc>
      </w:tr>
      <w:tr>
        <w:trPr>
          <w:cantSplit/>
        </w:trPr>
        <w:tc>
          <w:tcPr>
            <w:tcW w:type="dxa" w:w="2484"/>
          </w:tcPr>
          <w:p>
            <w:r>
              <w:rPr>
                <w:sz w:val="20"/>
              </w:rPr>
              <w:t>REP_0027</w:t>
            </w:r>
          </w:p>
        </w:tc>
        <w:tc>
          <w:tcPr>
            <w:tcW w:type="dxa" w:w="2484"/>
          </w:tcPr>
          <w:p>
            <w:r>
              <w:rPr>
                <w:sz w:val="20"/>
              </w:rPr>
              <w:t>26/6</w:t>
            </w:r>
          </w:p>
        </w:tc>
        <w:tc>
          <w:tcPr>
            <w:tcW w:type="dxa" w:w="2484"/>
          </w:tcPr>
          <w:p>
            <w:r>
              <w:rPr>
                <w:sz w:val="20"/>
              </w:rPr>
              <w:t>-0.013039</w:t>
            </w:r>
          </w:p>
        </w:tc>
        <w:tc>
          <w:tcPr>
            <w:tcW w:type="dxa" w:w="2484"/>
          </w:tcPr>
          <w:p>
            <w:r>
              <w:rPr>
                <w:sz w:val="20"/>
              </w:rPr>
              <w:t>[-0.016849, +0.010451]</w:t>
            </w:r>
          </w:p>
        </w:tc>
      </w:tr>
    </w:tbl>
    <w:p>
      <w:r>
        <w:t>Warmup 30; paired blocks 15; launches per block 100; bootstrap resamples 10,000. Kernel microbenchmark only. The H800-like software stack on RTX 5080 does not reproduce the larger original H800 overhead; architecture-only causation is not established.</w:t>
      </w:r>
    </w:p>
    <w:p>
      <w:pPr>
        <w:pStyle w:val="Heading1"/>
      </w:pPr>
      <w:r>
        <w:t>S4 Cross-platform evidence</w:t>
      </w:r>
    </w:p>
    <w:p>
      <w:r>
        <w:t>Execution labels identify the measured hardware and runtime, while representation-source labels identify configuration provenance. H800_CUDA or AMD_ROCm in a representation row must not be interpreted as its execution GPU. Table S2 uses the original passing H800 freeze, not the failed grouped-decoder R6 diagnostic. AMD is reported as gfx942-class hardware. Missing historical runtime fields remain unverified rather than inferred.</w:t>
      </w:r>
    </w:p>
    <w:p>
      <w:pPr>
        <w:pStyle w:val="Caption"/>
      </w:pPr>
      <w:r>
        <w:t>Table S2. RTX5080_WINDOWS</w:t>
      </w:r>
    </w:p>
    <w:tbl>
      <w:tblPr>
        <w:tblStyle w:val="TableGrid"/>
        <w:tblW w:type="auto" w:w="0"/>
        <w:tblLook w:firstColumn="1" w:firstRow="1" w:lastColumn="0" w:lastRow="0" w:noHBand="0" w:noVBand="1" w:val="04A0"/>
        <w:tblBorders>
          <w:left w:val="nil"/>
          <w:right w:val="nil"/>
          <w:insideV w:val="nil"/>
        </w:tblBorders>
      </w:tblPr>
      <w:tblGrid>
        <w:gridCol w:w="2484"/>
        <w:gridCol w:w="2484"/>
        <w:gridCol w:w="2484"/>
        <w:gridCol w:w="2484"/>
      </w:tblGrid>
      <w:tr>
        <w:trPr>
          <w:cantSplit/>
          <w:tblHeader/>
        </w:trPr>
        <w:tc>
          <w:tcPr>
            <w:tcW w:type="dxa" w:w="2484"/>
          </w:tcPr>
          <w:p>
            <w:r>
              <w:rPr>
                <w:sz w:val="20"/>
              </w:rPr>
              <w:t>Representation</w:t>
            </w:r>
          </w:p>
        </w:tc>
        <w:tc>
          <w:tcPr>
            <w:tcW w:type="dxa" w:w="2484"/>
          </w:tcPr>
          <w:p>
            <w:r>
              <w:rPr>
                <w:sz w:val="20"/>
              </w:rPr>
              <w:t>Median (%)</w:t>
            </w:r>
          </w:p>
        </w:tc>
        <w:tc>
          <w:tcPr>
            <w:tcW w:type="dxa" w:w="2484"/>
          </w:tcPr>
          <w:p>
            <w:r>
              <w:rPr>
                <w:sz w:val="20"/>
              </w:rPr>
              <w:t>95% CI (%)</w:t>
            </w:r>
          </w:p>
        </w:tc>
        <w:tc>
          <w:tcPr>
            <w:tcW w:type="dxa" w:w="2484"/>
          </w:tcPr>
          <w:p>
            <w:r>
              <w:rPr>
                <w:sz w:val="20"/>
              </w:rPr>
              <w:t>CI crosses zero</w:t>
            </w:r>
          </w:p>
        </w:tc>
      </w:tr>
      <w:tr>
        <w:trPr>
          <w:cantSplit/>
        </w:trPr>
        <w:tc>
          <w:tcPr>
            <w:tcW w:type="dxa" w:w="2484"/>
          </w:tcPr>
          <w:p>
            <w:r>
              <w:rPr>
                <w:sz w:val="20"/>
              </w:rPr>
              <w:t>REP_0008</w:t>
            </w:r>
          </w:p>
        </w:tc>
        <w:tc>
          <w:tcPr>
            <w:tcW w:type="dxa" w:w="2484"/>
          </w:tcPr>
          <w:p>
            <w:r>
              <w:rPr>
                <w:sz w:val="20"/>
              </w:rPr>
              <w:t>-1.022627</w:t>
            </w:r>
          </w:p>
        </w:tc>
        <w:tc>
          <w:tcPr>
            <w:tcW w:type="dxa" w:w="2484"/>
          </w:tcPr>
          <w:p>
            <w:r>
              <w:rPr>
                <w:sz w:val="20"/>
              </w:rPr>
              <w:t>[-2.186483, +1.747240]</w:t>
            </w:r>
          </w:p>
        </w:tc>
        <w:tc>
          <w:tcPr>
            <w:tcW w:type="dxa" w:w="2484"/>
          </w:tcPr>
          <w:p>
            <w:r>
              <w:rPr>
                <w:sz w:val="20"/>
              </w:rPr>
              <w:t>True</w:t>
            </w:r>
          </w:p>
        </w:tc>
      </w:tr>
      <w:tr>
        <w:trPr>
          <w:cantSplit/>
        </w:trPr>
        <w:tc>
          <w:tcPr>
            <w:tcW w:type="dxa" w:w="2484"/>
          </w:tcPr>
          <w:p>
            <w:r>
              <w:rPr>
                <w:sz w:val="20"/>
              </w:rPr>
              <w:t>REP_0025</w:t>
            </w:r>
          </w:p>
        </w:tc>
        <w:tc>
          <w:tcPr>
            <w:tcW w:type="dxa" w:w="2484"/>
          </w:tcPr>
          <w:p>
            <w:r>
              <w:rPr>
                <w:sz w:val="20"/>
              </w:rPr>
              <w:t>-0.224026</w:t>
            </w:r>
          </w:p>
        </w:tc>
        <w:tc>
          <w:tcPr>
            <w:tcW w:type="dxa" w:w="2484"/>
          </w:tcPr>
          <w:p>
            <w:r>
              <w:rPr>
                <w:sz w:val="20"/>
              </w:rPr>
              <w:t>[-1.063780, +0.512331]</w:t>
            </w:r>
          </w:p>
        </w:tc>
        <w:tc>
          <w:tcPr>
            <w:tcW w:type="dxa" w:w="2484"/>
          </w:tcPr>
          <w:p>
            <w:r>
              <w:rPr>
                <w:sz w:val="20"/>
              </w:rPr>
              <w:t>True</w:t>
            </w:r>
          </w:p>
        </w:tc>
      </w:tr>
      <w:tr>
        <w:trPr>
          <w:cantSplit/>
        </w:trPr>
        <w:tc>
          <w:tcPr>
            <w:tcW w:type="dxa" w:w="2484"/>
          </w:tcPr>
          <w:p>
            <w:r>
              <w:rPr>
                <w:sz w:val="20"/>
              </w:rPr>
              <w:t>REP_0026</w:t>
            </w:r>
          </w:p>
        </w:tc>
        <w:tc>
          <w:tcPr>
            <w:tcW w:type="dxa" w:w="2484"/>
          </w:tcPr>
          <w:p>
            <w:r>
              <w:rPr>
                <w:sz w:val="20"/>
              </w:rPr>
              <w:t>-0.171614</w:t>
            </w:r>
          </w:p>
        </w:tc>
        <w:tc>
          <w:tcPr>
            <w:tcW w:type="dxa" w:w="2484"/>
          </w:tcPr>
          <w:p>
            <w:r>
              <w:rPr>
                <w:sz w:val="20"/>
              </w:rPr>
              <w:t>[-0.661034, +0.962437]</w:t>
            </w:r>
          </w:p>
        </w:tc>
        <w:tc>
          <w:tcPr>
            <w:tcW w:type="dxa" w:w="2484"/>
          </w:tcPr>
          <w:p>
            <w:r>
              <w:rPr>
                <w:sz w:val="20"/>
              </w:rPr>
              <w:t>True</w:t>
            </w:r>
          </w:p>
        </w:tc>
      </w:tr>
      <w:tr>
        <w:trPr>
          <w:cantSplit/>
        </w:trPr>
        <w:tc>
          <w:tcPr>
            <w:tcW w:type="dxa" w:w="2484"/>
          </w:tcPr>
          <w:p>
            <w:r>
              <w:rPr>
                <w:sz w:val="20"/>
              </w:rPr>
              <w:t>REP_0027</w:t>
            </w:r>
          </w:p>
        </w:tc>
        <w:tc>
          <w:tcPr>
            <w:tcW w:type="dxa" w:w="2484"/>
          </w:tcPr>
          <w:p>
            <w:r>
              <w:rPr>
                <w:sz w:val="20"/>
              </w:rPr>
              <w:t>-0.013033</w:t>
            </w:r>
          </w:p>
        </w:tc>
        <w:tc>
          <w:tcPr>
            <w:tcW w:type="dxa" w:w="2484"/>
          </w:tcPr>
          <w:p>
            <w:r>
              <w:rPr>
                <w:sz w:val="20"/>
              </w:rPr>
              <w:t>[-0.724311, +0.299826]</w:t>
            </w:r>
          </w:p>
        </w:tc>
        <w:tc>
          <w:tcPr>
            <w:tcW w:type="dxa" w:w="2484"/>
          </w:tcPr>
          <w:p>
            <w:r>
              <w:rPr>
                <w:sz w:val="20"/>
              </w:rPr>
              <w:t>True</w:t>
            </w:r>
          </w:p>
        </w:tc>
      </w:tr>
    </w:tbl>
    <w:p>
      <w:pPr>
        <w:pStyle w:val="Caption"/>
      </w:pPr>
      <w:r>
        <w:t>Table S2 continued. RTX5080_LINUX_H800_LIKE</w:t>
      </w:r>
    </w:p>
    <w:tbl>
      <w:tblPr>
        <w:tblStyle w:val="TableGrid"/>
        <w:tblW w:type="auto" w:w="0"/>
        <w:tblLook w:firstColumn="1" w:firstRow="1" w:lastColumn="0" w:lastRow="0" w:noHBand="0" w:noVBand="1" w:val="04A0"/>
        <w:tblBorders>
          <w:left w:val="nil"/>
          <w:right w:val="nil"/>
          <w:insideV w:val="nil"/>
        </w:tblBorders>
      </w:tblPr>
      <w:tblGrid>
        <w:gridCol w:w="2484"/>
        <w:gridCol w:w="2484"/>
        <w:gridCol w:w="2484"/>
        <w:gridCol w:w="2484"/>
      </w:tblGrid>
      <w:tr>
        <w:trPr>
          <w:cantSplit/>
          <w:tblHeader/>
        </w:trPr>
        <w:tc>
          <w:tcPr>
            <w:tcW w:type="dxa" w:w="2484"/>
          </w:tcPr>
          <w:p>
            <w:r>
              <w:rPr>
                <w:sz w:val="20"/>
              </w:rPr>
              <w:t>Representation</w:t>
            </w:r>
          </w:p>
        </w:tc>
        <w:tc>
          <w:tcPr>
            <w:tcW w:type="dxa" w:w="2484"/>
          </w:tcPr>
          <w:p>
            <w:r>
              <w:rPr>
                <w:sz w:val="20"/>
              </w:rPr>
              <w:t>Median (%)</w:t>
            </w:r>
          </w:p>
        </w:tc>
        <w:tc>
          <w:tcPr>
            <w:tcW w:type="dxa" w:w="2484"/>
          </w:tcPr>
          <w:p>
            <w:r>
              <w:rPr>
                <w:sz w:val="20"/>
              </w:rPr>
              <w:t>95% CI (%)</w:t>
            </w:r>
          </w:p>
        </w:tc>
        <w:tc>
          <w:tcPr>
            <w:tcW w:type="dxa" w:w="2484"/>
          </w:tcPr>
          <w:p>
            <w:r>
              <w:rPr>
                <w:sz w:val="20"/>
              </w:rPr>
              <w:t>CI crosses zero</w:t>
            </w:r>
          </w:p>
        </w:tc>
      </w:tr>
      <w:tr>
        <w:trPr>
          <w:cantSplit/>
        </w:trPr>
        <w:tc>
          <w:tcPr>
            <w:tcW w:type="dxa" w:w="2484"/>
          </w:tcPr>
          <w:p>
            <w:r>
              <w:rPr>
                <w:sz w:val="20"/>
              </w:rPr>
              <w:t>REP_0008</w:t>
            </w:r>
          </w:p>
        </w:tc>
        <w:tc>
          <w:tcPr>
            <w:tcW w:type="dxa" w:w="2484"/>
          </w:tcPr>
          <w:p>
            <w:r>
              <w:rPr>
                <w:sz w:val="20"/>
              </w:rPr>
              <w:t>+0.072469</w:t>
            </w:r>
          </w:p>
        </w:tc>
        <w:tc>
          <w:tcPr>
            <w:tcW w:type="dxa" w:w="2484"/>
          </w:tcPr>
          <w:p>
            <w:r>
              <w:rPr>
                <w:sz w:val="20"/>
              </w:rPr>
              <w:t>[+0.020975, +0.128995]</w:t>
            </w:r>
          </w:p>
        </w:tc>
        <w:tc>
          <w:tcPr>
            <w:tcW w:type="dxa" w:w="2484"/>
          </w:tcPr>
          <w:p>
            <w:r>
              <w:rPr>
                <w:sz w:val="20"/>
              </w:rPr>
              <w:t>False</w:t>
            </w:r>
          </w:p>
        </w:tc>
      </w:tr>
      <w:tr>
        <w:trPr>
          <w:cantSplit/>
        </w:trPr>
        <w:tc>
          <w:tcPr>
            <w:tcW w:type="dxa" w:w="2484"/>
          </w:tcPr>
          <w:p>
            <w:r>
              <w:rPr>
                <w:sz w:val="20"/>
              </w:rPr>
              <w:t>REP_0025</w:t>
            </w:r>
          </w:p>
        </w:tc>
        <w:tc>
          <w:tcPr>
            <w:tcW w:type="dxa" w:w="2484"/>
          </w:tcPr>
          <w:p>
            <w:r>
              <w:rPr>
                <w:sz w:val="20"/>
              </w:rPr>
              <w:t>+0.168555</w:t>
            </w:r>
          </w:p>
        </w:tc>
        <w:tc>
          <w:tcPr>
            <w:tcW w:type="dxa" w:w="2484"/>
          </w:tcPr>
          <w:p>
            <w:r>
              <w:rPr>
                <w:sz w:val="20"/>
              </w:rPr>
              <w:t>[+0.149584, +0.239737]</w:t>
            </w:r>
          </w:p>
        </w:tc>
        <w:tc>
          <w:tcPr>
            <w:tcW w:type="dxa" w:w="2484"/>
          </w:tcPr>
          <w:p>
            <w:r>
              <w:rPr>
                <w:sz w:val="20"/>
              </w:rPr>
              <w:t>False</w:t>
            </w:r>
          </w:p>
        </w:tc>
      </w:tr>
      <w:tr>
        <w:trPr>
          <w:cantSplit/>
        </w:trPr>
        <w:tc>
          <w:tcPr>
            <w:tcW w:type="dxa" w:w="2484"/>
          </w:tcPr>
          <w:p>
            <w:r>
              <w:rPr>
                <w:sz w:val="20"/>
              </w:rPr>
              <w:t>REP_0026</w:t>
            </w:r>
          </w:p>
        </w:tc>
        <w:tc>
          <w:tcPr>
            <w:tcW w:type="dxa" w:w="2484"/>
          </w:tcPr>
          <w:p>
            <w:r>
              <w:rPr>
                <w:sz w:val="20"/>
              </w:rPr>
              <w:t>-0.089114</w:t>
            </w:r>
          </w:p>
        </w:tc>
        <w:tc>
          <w:tcPr>
            <w:tcW w:type="dxa" w:w="2484"/>
          </w:tcPr>
          <w:p>
            <w:r>
              <w:rPr>
                <w:sz w:val="20"/>
              </w:rPr>
              <w:t>[-0.105037, -0.066795]</w:t>
            </w:r>
          </w:p>
        </w:tc>
        <w:tc>
          <w:tcPr>
            <w:tcW w:type="dxa" w:w="2484"/>
          </w:tcPr>
          <w:p>
            <w:r>
              <w:rPr>
                <w:sz w:val="20"/>
              </w:rPr>
              <w:t>False</w:t>
            </w:r>
          </w:p>
        </w:tc>
      </w:tr>
      <w:tr>
        <w:trPr>
          <w:cantSplit/>
        </w:trPr>
        <w:tc>
          <w:tcPr>
            <w:tcW w:type="dxa" w:w="2484"/>
          </w:tcPr>
          <w:p>
            <w:r>
              <w:rPr>
                <w:sz w:val="20"/>
              </w:rPr>
              <w:t>REP_0027</w:t>
            </w:r>
          </w:p>
        </w:tc>
        <w:tc>
          <w:tcPr>
            <w:tcW w:type="dxa" w:w="2484"/>
          </w:tcPr>
          <w:p>
            <w:r>
              <w:rPr>
                <w:sz w:val="20"/>
              </w:rPr>
              <w:t>-0.013039</w:t>
            </w:r>
          </w:p>
        </w:tc>
        <w:tc>
          <w:tcPr>
            <w:tcW w:type="dxa" w:w="2484"/>
          </w:tcPr>
          <w:p>
            <w:r>
              <w:rPr>
                <w:sz w:val="20"/>
              </w:rPr>
              <w:t>[-0.016849, +0.010451]</w:t>
            </w:r>
          </w:p>
        </w:tc>
        <w:tc>
          <w:tcPr>
            <w:tcW w:type="dxa" w:w="2484"/>
          </w:tcPr>
          <w:p>
            <w:r>
              <w:rPr>
                <w:sz w:val="20"/>
              </w:rPr>
              <w:t>True</w:t>
            </w:r>
          </w:p>
        </w:tc>
      </w:tr>
    </w:tbl>
    <w:p>
      <w:pPr>
        <w:pStyle w:val="Caption"/>
      </w:pPr>
      <w:r>
        <w:t>Table S2 continued. RTX4060TI_WINDOWS</w:t>
      </w:r>
    </w:p>
    <w:tbl>
      <w:tblPr>
        <w:tblStyle w:val="TableGrid"/>
        <w:tblW w:type="auto" w:w="0"/>
        <w:tblLook w:firstColumn="1" w:firstRow="1" w:lastColumn="0" w:lastRow="0" w:noHBand="0" w:noVBand="1" w:val="04A0"/>
        <w:tblBorders>
          <w:left w:val="nil"/>
          <w:right w:val="nil"/>
          <w:insideV w:val="nil"/>
        </w:tblBorders>
      </w:tblPr>
      <w:tblGrid>
        <w:gridCol w:w="2484"/>
        <w:gridCol w:w="2484"/>
        <w:gridCol w:w="2484"/>
        <w:gridCol w:w="2484"/>
      </w:tblGrid>
      <w:tr>
        <w:trPr>
          <w:cantSplit/>
          <w:tblHeader/>
        </w:trPr>
        <w:tc>
          <w:tcPr>
            <w:tcW w:type="dxa" w:w="2484"/>
          </w:tcPr>
          <w:p>
            <w:r>
              <w:rPr>
                <w:sz w:val="20"/>
              </w:rPr>
              <w:t>Representation</w:t>
            </w:r>
          </w:p>
        </w:tc>
        <w:tc>
          <w:tcPr>
            <w:tcW w:type="dxa" w:w="2484"/>
          </w:tcPr>
          <w:p>
            <w:r>
              <w:rPr>
                <w:sz w:val="20"/>
              </w:rPr>
              <w:t>Median (%)</w:t>
            </w:r>
          </w:p>
        </w:tc>
        <w:tc>
          <w:tcPr>
            <w:tcW w:type="dxa" w:w="2484"/>
          </w:tcPr>
          <w:p>
            <w:r>
              <w:rPr>
                <w:sz w:val="20"/>
              </w:rPr>
              <w:t>95% CI (%)</w:t>
            </w:r>
          </w:p>
        </w:tc>
        <w:tc>
          <w:tcPr>
            <w:tcW w:type="dxa" w:w="2484"/>
          </w:tcPr>
          <w:p>
            <w:r>
              <w:rPr>
                <w:sz w:val="20"/>
              </w:rPr>
              <w:t>CI crosses zero</w:t>
            </w:r>
          </w:p>
        </w:tc>
      </w:tr>
      <w:tr>
        <w:trPr>
          <w:cantSplit/>
        </w:trPr>
        <w:tc>
          <w:tcPr>
            <w:tcW w:type="dxa" w:w="2484"/>
          </w:tcPr>
          <w:p>
            <w:r>
              <w:rPr>
                <w:sz w:val="20"/>
              </w:rPr>
              <w:t>REP_0008</w:t>
            </w:r>
          </w:p>
        </w:tc>
        <w:tc>
          <w:tcPr>
            <w:tcW w:type="dxa" w:w="2484"/>
          </w:tcPr>
          <w:p>
            <w:r>
              <w:rPr>
                <w:sz w:val="20"/>
              </w:rPr>
              <w:t>+0.005121</w:t>
            </w:r>
          </w:p>
        </w:tc>
        <w:tc>
          <w:tcPr>
            <w:tcW w:type="dxa" w:w="2484"/>
          </w:tcPr>
          <w:p>
            <w:r>
              <w:rPr>
                <w:sz w:val="20"/>
              </w:rPr>
              <w:t>[-0.378260, +0.429121]</w:t>
            </w:r>
          </w:p>
        </w:tc>
        <w:tc>
          <w:tcPr>
            <w:tcW w:type="dxa" w:w="2484"/>
          </w:tcPr>
          <w:p>
            <w:r>
              <w:rPr>
                <w:sz w:val="20"/>
              </w:rPr>
              <w:t>True</w:t>
            </w:r>
          </w:p>
        </w:tc>
      </w:tr>
      <w:tr>
        <w:trPr>
          <w:cantSplit/>
        </w:trPr>
        <w:tc>
          <w:tcPr>
            <w:tcW w:type="dxa" w:w="2484"/>
          </w:tcPr>
          <w:p>
            <w:r>
              <w:rPr>
                <w:sz w:val="20"/>
              </w:rPr>
              <w:t>REP_0025</w:t>
            </w:r>
          </w:p>
        </w:tc>
        <w:tc>
          <w:tcPr>
            <w:tcW w:type="dxa" w:w="2484"/>
          </w:tcPr>
          <w:p>
            <w:r>
              <w:rPr>
                <w:sz w:val="20"/>
              </w:rPr>
              <w:t>-0.019257</w:t>
            </w:r>
          </w:p>
        </w:tc>
        <w:tc>
          <w:tcPr>
            <w:tcW w:type="dxa" w:w="2484"/>
          </w:tcPr>
          <w:p>
            <w:r>
              <w:rPr>
                <w:sz w:val="20"/>
              </w:rPr>
              <w:t>[-0.306929, +0.485951]</w:t>
            </w:r>
          </w:p>
        </w:tc>
        <w:tc>
          <w:tcPr>
            <w:tcW w:type="dxa" w:w="2484"/>
          </w:tcPr>
          <w:p>
            <w:r>
              <w:rPr>
                <w:sz w:val="20"/>
              </w:rPr>
              <w:t>True</w:t>
            </w:r>
          </w:p>
        </w:tc>
      </w:tr>
      <w:tr>
        <w:trPr>
          <w:cantSplit/>
        </w:trPr>
        <w:tc>
          <w:tcPr>
            <w:tcW w:type="dxa" w:w="2484"/>
          </w:tcPr>
          <w:p>
            <w:r>
              <w:rPr>
                <w:sz w:val="20"/>
              </w:rPr>
              <w:t>REP_0026</w:t>
            </w:r>
          </w:p>
        </w:tc>
        <w:tc>
          <w:tcPr>
            <w:tcW w:type="dxa" w:w="2484"/>
          </w:tcPr>
          <w:p>
            <w:r>
              <w:rPr>
                <w:sz w:val="20"/>
              </w:rPr>
              <w:t>+0.159240</w:t>
            </w:r>
          </w:p>
        </w:tc>
        <w:tc>
          <w:tcPr>
            <w:tcW w:type="dxa" w:w="2484"/>
          </w:tcPr>
          <w:p>
            <w:r>
              <w:rPr>
                <w:sz w:val="20"/>
              </w:rPr>
              <w:t>[-0.403659, +0.471145]</w:t>
            </w:r>
          </w:p>
        </w:tc>
        <w:tc>
          <w:tcPr>
            <w:tcW w:type="dxa" w:w="2484"/>
          </w:tcPr>
          <w:p>
            <w:r>
              <w:rPr>
                <w:sz w:val="20"/>
              </w:rPr>
              <w:t>True</w:t>
            </w:r>
          </w:p>
        </w:tc>
      </w:tr>
      <w:tr>
        <w:trPr>
          <w:cantSplit/>
        </w:trPr>
        <w:tc>
          <w:tcPr>
            <w:tcW w:type="dxa" w:w="2484"/>
          </w:tcPr>
          <w:p>
            <w:r>
              <w:rPr>
                <w:sz w:val="20"/>
              </w:rPr>
              <w:t>REP_0027</w:t>
            </w:r>
          </w:p>
        </w:tc>
        <w:tc>
          <w:tcPr>
            <w:tcW w:type="dxa" w:w="2484"/>
          </w:tcPr>
          <w:p>
            <w:r>
              <w:rPr>
                <w:sz w:val="20"/>
              </w:rPr>
              <w:t>+0.044226</w:t>
            </w:r>
          </w:p>
        </w:tc>
        <w:tc>
          <w:tcPr>
            <w:tcW w:type="dxa" w:w="2484"/>
          </w:tcPr>
          <w:p>
            <w:r>
              <w:rPr>
                <w:sz w:val="20"/>
              </w:rPr>
              <w:t>[-1.011308, +0.430099]</w:t>
            </w:r>
          </w:p>
        </w:tc>
        <w:tc>
          <w:tcPr>
            <w:tcW w:type="dxa" w:w="2484"/>
          </w:tcPr>
          <w:p>
            <w:r>
              <w:rPr>
                <w:sz w:val="20"/>
              </w:rPr>
              <w:t>True</w:t>
            </w:r>
          </w:p>
        </w:tc>
      </w:tr>
    </w:tbl>
    <w:p>
      <w:pPr>
        <w:pStyle w:val="Caption"/>
      </w:pPr>
      <w:r>
        <w:t>Table S2 continued. AMD_GFX942</w:t>
      </w:r>
    </w:p>
    <w:tbl>
      <w:tblPr>
        <w:tblStyle w:val="TableGrid"/>
        <w:tblW w:type="auto" w:w="0"/>
        <w:tblLook w:firstColumn="1" w:firstRow="1" w:lastColumn="0" w:lastRow="0" w:noHBand="0" w:noVBand="1" w:val="04A0"/>
        <w:tblBorders>
          <w:left w:val="nil"/>
          <w:right w:val="nil"/>
          <w:insideV w:val="nil"/>
        </w:tblBorders>
      </w:tblPr>
      <w:tblGrid>
        <w:gridCol w:w="2484"/>
        <w:gridCol w:w="2484"/>
        <w:gridCol w:w="2484"/>
        <w:gridCol w:w="2484"/>
      </w:tblGrid>
      <w:tr>
        <w:trPr>
          <w:cantSplit/>
          <w:tblHeader/>
        </w:trPr>
        <w:tc>
          <w:tcPr>
            <w:tcW w:type="dxa" w:w="2484"/>
          </w:tcPr>
          <w:p>
            <w:r>
              <w:rPr>
                <w:sz w:val="20"/>
              </w:rPr>
              <w:t>Representation</w:t>
            </w:r>
          </w:p>
        </w:tc>
        <w:tc>
          <w:tcPr>
            <w:tcW w:type="dxa" w:w="2484"/>
          </w:tcPr>
          <w:p>
            <w:r>
              <w:rPr>
                <w:sz w:val="20"/>
              </w:rPr>
              <w:t>Median (%)</w:t>
            </w:r>
          </w:p>
        </w:tc>
        <w:tc>
          <w:tcPr>
            <w:tcW w:type="dxa" w:w="2484"/>
          </w:tcPr>
          <w:p>
            <w:r>
              <w:rPr>
                <w:sz w:val="20"/>
              </w:rPr>
              <w:t>95% CI (%)</w:t>
            </w:r>
          </w:p>
        </w:tc>
        <w:tc>
          <w:tcPr>
            <w:tcW w:type="dxa" w:w="2484"/>
          </w:tcPr>
          <w:p>
            <w:r>
              <w:rPr>
                <w:sz w:val="20"/>
              </w:rPr>
              <w:t>CI crosses zero</w:t>
            </w:r>
          </w:p>
        </w:tc>
      </w:tr>
      <w:tr>
        <w:trPr>
          <w:cantSplit/>
        </w:trPr>
        <w:tc>
          <w:tcPr>
            <w:tcW w:type="dxa" w:w="2484"/>
          </w:tcPr>
          <w:p>
            <w:r>
              <w:rPr>
                <w:sz w:val="20"/>
              </w:rPr>
              <w:t>REP_0008</w:t>
            </w:r>
          </w:p>
        </w:tc>
        <w:tc>
          <w:tcPr>
            <w:tcW w:type="dxa" w:w="2484"/>
          </w:tcPr>
          <w:p>
            <w:r>
              <w:rPr>
                <w:sz w:val="20"/>
              </w:rPr>
              <w:t>+165.067203</w:t>
            </w:r>
          </w:p>
        </w:tc>
        <w:tc>
          <w:tcPr>
            <w:tcW w:type="dxa" w:w="2484"/>
          </w:tcPr>
          <w:p>
            <w:r>
              <w:rPr>
                <w:sz w:val="20"/>
              </w:rPr>
              <w:t>[+165.002506, +165.075680]</w:t>
            </w:r>
          </w:p>
        </w:tc>
        <w:tc>
          <w:tcPr>
            <w:tcW w:type="dxa" w:w="2484"/>
          </w:tcPr>
          <w:p>
            <w:r>
              <w:rPr>
                <w:sz w:val="20"/>
              </w:rPr>
              <w:t>False</w:t>
            </w:r>
          </w:p>
        </w:tc>
      </w:tr>
      <w:tr>
        <w:trPr>
          <w:cantSplit/>
        </w:trPr>
        <w:tc>
          <w:tcPr>
            <w:tcW w:type="dxa" w:w="2484"/>
          </w:tcPr>
          <w:p>
            <w:r>
              <w:rPr>
                <w:sz w:val="20"/>
              </w:rPr>
              <w:t>REP_0025</w:t>
            </w:r>
          </w:p>
        </w:tc>
        <w:tc>
          <w:tcPr>
            <w:tcW w:type="dxa" w:w="2484"/>
          </w:tcPr>
          <w:p>
            <w:r>
              <w:rPr>
                <w:sz w:val="20"/>
              </w:rPr>
              <w:t>+162.554752</w:t>
            </w:r>
          </w:p>
        </w:tc>
        <w:tc>
          <w:tcPr>
            <w:tcW w:type="dxa" w:w="2484"/>
          </w:tcPr>
          <w:p>
            <w:r>
              <w:rPr>
                <w:sz w:val="20"/>
              </w:rPr>
              <w:t>[+162.515095, +162.588667]</w:t>
            </w:r>
          </w:p>
        </w:tc>
        <w:tc>
          <w:tcPr>
            <w:tcW w:type="dxa" w:w="2484"/>
          </w:tcPr>
          <w:p>
            <w:r>
              <w:rPr>
                <w:sz w:val="20"/>
              </w:rPr>
              <w:t>False</w:t>
            </w:r>
          </w:p>
        </w:tc>
      </w:tr>
      <w:tr>
        <w:trPr>
          <w:cantSplit/>
        </w:trPr>
        <w:tc>
          <w:tcPr>
            <w:tcW w:type="dxa" w:w="2484"/>
          </w:tcPr>
          <w:p>
            <w:r>
              <w:rPr>
                <w:sz w:val="20"/>
              </w:rPr>
              <w:t>REP_0026</w:t>
            </w:r>
          </w:p>
        </w:tc>
        <w:tc>
          <w:tcPr>
            <w:tcW w:type="dxa" w:w="2484"/>
          </w:tcPr>
          <w:p>
            <w:r>
              <w:rPr>
                <w:sz w:val="20"/>
              </w:rPr>
              <w:t>+156.963005</w:t>
            </w:r>
          </w:p>
        </w:tc>
        <w:tc>
          <w:tcPr>
            <w:tcW w:type="dxa" w:w="2484"/>
          </w:tcPr>
          <w:p>
            <w:r>
              <w:rPr>
                <w:sz w:val="20"/>
              </w:rPr>
              <w:t>[+156.940219, +157.012195]</w:t>
            </w:r>
          </w:p>
        </w:tc>
        <w:tc>
          <w:tcPr>
            <w:tcW w:type="dxa" w:w="2484"/>
          </w:tcPr>
          <w:p>
            <w:r>
              <w:rPr>
                <w:sz w:val="20"/>
              </w:rPr>
              <w:t>False</w:t>
            </w:r>
          </w:p>
        </w:tc>
      </w:tr>
      <w:tr>
        <w:trPr>
          <w:cantSplit/>
        </w:trPr>
        <w:tc>
          <w:tcPr>
            <w:tcW w:type="dxa" w:w="2484"/>
          </w:tcPr>
          <w:p>
            <w:r>
              <w:rPr>
                <w:sz w:val="20"/>
              </w:rPr>
              <w:t>REP_0027</w:t>
            </w:r>
          </w:p>
        </w:tc>
        <w:tc>
          <w:tcPr>
            <w:tcW w:type="dxa" w:w="2484"/>
          </w:tcPr>
          <w:p>
            <w:r>
              <w:rPr>
                <w:sz w:val="20"/>
              </w:rPr>
              <w:t>+154.973863</w:t>
            </w:r>
          </w:p>
        </w:tc>
        <w:tc>
          <w:tcPr>
            <w:tcW w:type="dxa" w:w="2484"/>
          </w:tcPr>
          <w:p>
            <w:r>
              <w:rPr>
                <w:sz w:val="20"/>
              </w:rPr>
              <w:t>[+154.850956, +155.074009]</w:t>
            </w:r>
          </w:p>
        </w:tc>
        <w:tc>
          <w:tcPr>
            <w:tcW w:type="dxa" w:w="2484"/>
          </w:tcPr>
          <w:p>
            <w:r>
              <w:rPr>
                <w:sz w:val="20"/>
              </w:rPr>
              <w:t>False</w:t>
            </w:r>
          </w:p>
        </w:tc>
      </w:tr>
    </w:tbl>
    <w:p>
      <w:pPr>
        <w:pStyle w:val="Caption"/>
      </w:pPr>
      <w:r>
        <w:t>Table S2 continued. H800_CUDA</w:t>
      </w:r>
    </w:p>
    <w:tbl>
      <w:tblPr>
        <w:tblStyle w:val="TableGrid"/>
        <w:tblW w:type="auto" w:w="0"/>
        <w:tblLook w:firstColumn="1" w:firstRow="1" w:lastColumn="0" w:lastRow="0" w:noHBand="0" w:noVBand="1" w:val="04A0"/>
        <w:tblBorders>
          <w:left w:val="nil"/>
          <w:right w:val="nil"/>
          <w:insideV w:val="nil"/>
        </w:tblBorders>
      </w:tblPr>
      <w:tblGrid>
        <w:gridCol w:w="2484"/>
        <w:gridCol w:w="2484"/>
        <w:gridCol w:w="2484"/>
        <w:gridCol w:w="2484"/>
      </w:tblGrid>
      <w:tr>
        <w:trPr>
          <w:cantSplit/>
          <w:tblHeader/>
        </w:trPr>
        <w:tc>
          <w:tcPr>
            <w:tcW w:type="dxa" w:w="2484"/>
          </w:tcPr>
          <w:p>
            <w:r>
              <w:rPr>
                <w:sz w:val="20"/>
              </w:rPr>
              <w:t>Representation</w:t>
            </w:r>
          </w:p>
        </w:tc>
        <w:tc>
          <w:tcPr>
            <w:tcW w:type="dxa" w:w="2484"/>
          </w:tcPr>
          <w:p>
            <w:r>
              <w:rPr>
                <w:sz w:val="20"/>
              </w:rPr>
              <w:t>Median (%)</w:t>
            </w:r>
          </w:p>
        </w:tc>
        <w:tc>
          <w:tcPr>
            <w:tcW w:type="dxa" w:w="2484"/>
          </w:tcPr>
          <w:p>
            <w:r>
              <w:rPr>
                <w:sz w:val="20"/>
              </w:rPr>
              <w:t>95% CI (%)</w:t>
            </w:r>
          </w:p>
        </w:tc>
        <w:tc>
          <w:tcPr>
            <w:tcW w:type="dxa" w:w="2484"/>
          </w:tcPr>
          <w:p>
            <w:r>
              <w:rPr>
                <w:sz w:val="20"/>
              </w:rPr>
              <w:t>CI crosses zero</w:t>
            </w:r>
          </w:p>
        </w:tc>
      </w:tr>
      <w:tr>
        <w:trPr>
          <w:cantSplit/>
        </w:trPr>
        <w:tc>
          <w:tcPr>
            <w:tcW w:type="dxa" w:w="2484"/>
          </w:tcPr>
          <w:p>
            <w:r>
              <w:rPr>
                <w:sz w:val="20"/>
              </w:rPr>
              <w:t>REP_0008</w:t>
            </w:r>
          </w:p>
        </w:tc>
        <w:tc>
          <w:tcPr>
            <w:tcW w:type="dxa" w:w="2484"/>
          </w:tcPr>
          <w:p>
            <w:r>
              <w:rPr>
                <w:sz w:val="20"/>
              </w:rPr>
              <w:t>+16.783045</w:t>
            </w:r>
          </w:p>
        </w:tc>
        <w:tc>
          <w:tcPr>
            <w:tcW w:type="dxa" w:w="2484"/>
          </w:tcPr>
          <w:p>
            <w:r>
              <w:rPr>
                <w:sz w:val="20"/>
              </w:rPr>
              <w:t>[+16.703419, +16.849694]</w:t>
            </w:r>
          </w:p>
        </w:tc>
        <w:tc>
          <w:tcPr>
            <w:tcW w:type="dxa" w:w="2484"/>
          </w:tcPr>
          <w:p>
            <w:r>
              <w:rPr>
                <w:sz w:val="20"/>
              </w:rPr>
              <w:t>False</w:t>
            </w:r>
          </w:p>
        </w:tc>
      </w:tr>
      <w:tr>
        <w:trPr>
          <w:cantSplit/>
        </w:trPr>
        <w:tc>
          <w:tcPr>
            <w:tcW w:type="dxa" w:w="2484"/>
          </w:tcPr>
          <w:p>
            <w:r>
              <w:rPr>
                <w:sz w:val="20"/>
              </w:rPr>
              <w:t>REP_0025</w:t>
            </w:r>
          </w:p>
        </w:tc>
        <w:tc>
          <w:tcPr>
            <w:tcW w:type="dxa" w:w="2484"/>
          </w:tcPr>
          <w:p>
            <w:r>
              <w:rPr>
                <w:sz w:val="20"/>
              </w:rPr>
              <w:t>+12.550879</w:t>
            </w:r>
          </w:p>
        </w:tc>
        <w:tc>
          <w:tcPr>
            <w:tcW w:type="dxa" w:w="2484"/>
          </w:tcPr>
          <w:p>
            <w:r>
              <w:rPr>
                <w:sz w:val="20"/>
              </w:rPr>
              <w:t>[+12.538873, +12.558011]</w:t>
            </w:r>
          </w:p>
        </w:tc>
        <w:tc>
          <w:tcPr>
            <w:tcW w:type="dxa" w:w="2484"/>
          </w:tcPr>
          <w:p>
            <w:r>
              <w:rPr>
                <w:sz w:val="20"/>
              </w:rPr>
              <w:t>False</w:t>
            </w:r>
          </w:p>
        </w:tc>
      </w:tr>
      <w:tr>
        <w:trPr>
          <w:cantSplit/>
        </w:trPr>
        <w:tc>
          <w:tcPr>
            <w:tcW w:type="dxa" w:w="2484"/>
          </w:tcPr>
          <w:p>
            <w:r>
              <w:rPr>
                <w:sz w:val="20"/>
              </w:rPr>
              <w:t>REP_0026</w:t>
            </w:r>
          </w:p>
        </w:tc>
        <w:tc>
          <w:tcPr>
            <w:tcW w:type="dxa" w:w="2484"/>
          </w:tcPr>
          <w:p>
            <w:r>
              <w:rPr>
                <w:sz w:val="20"/>
              </w:rPr>
              <w:t>+10.920462</w:t>
            </w:r>
          </w:p>
        </w:tc>
        <w:tc>
          <w:tcPr>
            <w:tcW w:type="dxa" w:w="2484"/>
          </w:tcPr>
          <w:p>
            <w:r>
              <w:rPr>
                <w:sz w:val="20"/>
              </w:rPr>
              <w:t>[+10.872689, +10.995703]</w:t>
            </w:r>
          </w:p>
        </w:tc>
        <w:tc>
          <w:tcPr>
            <w:tcW w:type="dxa" w:w="2484"/>
          </w:tcPr>
          <w:p>
            <w:r>
              <w:rPr>
                <w:sz w:val="20"/>
              </w:rPr>
              <w:t>False</w:t>
            </w:r>
          </w:p>
        </w:tc>
      </w:tr>
      <w:tr>
        <w:trPr>
          <w:cantSplit/>
        </w:trPr>
        <w:tc>
          <w:tcPr>
            <w:tcW w:type="dxa" w:w="2484"/>
          </w:tcPr>
          <w:p>
            <w:r>
              <w:rPr>
                <w:sz w:val="20"/>
              </w:rPr>
              <w:t>REP_0027</w:t>
            </w:r>
          </w:p>
        </w:tc>
        <w:tc>
          <w:tcPr>
            <w:tcW w:type="dxa" w:w="2484"/>
          </w:tcPr>
          <w:p>
            <w:r>
              <w:rPr>
                <w:sz w:val="20"/>
              </w:rPr>
              <w:t>+1.640163</w:t>
            </w:r>
          </w:p>
        </w:tc>
        <w:tc>
          <w:tcPr>
            <w:tcW w:type="dxa" w:w="2484"/>
          </w:tcPr>
          <w:p>
            <w:r>
              <w:rPr>
                <w:sz w:val="20"/>
              </w:rPr>
              <w:t>[+1.618926, +1.663246]</w:t>
            </w:r>
          </w:p>
        </w:tc>
        <w:tc>
          <w:tcPr>
            <w:tcW w:type="dxa" w:w="2484"/>
          </w:tcPr>
          <w:p>
            <w:r>
              <w:rPr>
                <w:sz w:val="20"/>
              </w:rPr>
              <w:t>False</w:t>
            </w:r>
          </w:p>
        </w:tc>
      </w:tr>
    </w:tbl>
    <w:p>
      <w:r>
        <w:br w:type="page"/>
      </w:r>
    </w:p>
    <w:p>
      <w:pPr>
        <w:pStyle w:val="Heading1"/>
      </w:pPr>
      <w:r>
        <w:t>S5 Full-cache distributional evidence</w:t>
      </w:r>
    </w:p>
    <w:p>
      <w:r>
        <w:t>Table S3 reports existing corrected Binary32-Z P6B2 global statistics. All statistics were checked against the 96 selected target rows per model. A zero median does not imply absence of large outliers. These are one-step localized injections on a full-cache INT4 background, not long-sequence generation or randomized device-level reliability estimates.</w:t>
      </w:r>
    </w:p>
    <w:p>
      <w:pPr>
        <w:pStyle w:val="Caption"/>
      </w:pPr>
      <w:r>
        <w:t>Table S3. Corrected Binary32-Z target-level KL distributions</w:t>
      </w:r>
    </w:p>
    <w:tbl>
      <w:tblPr>
        <w:tblStyle w:val="TableGrid"/>
        <w:tblW w:type="auto" w:w="0"/>
        <w:tblLook w:firstColumn="1" w:firstRow="1" w:lastColumn="0" w:lastRow="0" w:noHBand="0" w:noVBand="1" w:val="04A0"/>
        <w:tblBorders>
          <w:left w:val="nil"/>
          <w:right w:val="nil"/>
          <w:insideV w:val="nil"/>
        </w:tblBorders>
      </w:tblPr>
      <w:tblGrid>
        <w:gridCol w:w="1987"/>
        <w:gridCol w:w="1987"/>
        <w:gridCol w:w="1987"/>
        <w:gridCol w:w="1987"/>
        <w:gridCol w:w="1987"/>
      </w:tblGrid>
      <w:tr>
        <w:trPr>
          <w:cantSplit/>
          <w:tblHeader/>
        </w:trPr>
        <w:tc>
          <w:tcPr>
            <w:tcW w:type="dxa" w:w="1987"/>
          </w:tcPr>
          <w:p>
            <w:r>
              <w:rPr>
                <w:sz w:val="20"/>
              </w:rPr>
              <w:t>Model / targets</w:t>
            </w:r>
          </w:p>
        </w:tc>
        <w:tc>
          <w:tcPr>
            <w:tcW w:type="dxa" w:w="1987"/>
          </w:tcPr>
          <w:p>
            <w:r>
              <w:rPr>
                <w:sz w:val="20"/>
              </w:rPr>
              <w:t>Median KL</w:t>
            </w:r>
          </w:p>
        </w:tc>
        <w:tc>
          <w:tcPr>
            <w:tcW w:type="dxa" w:w="1987"/>
          </w:tcPr>
          <w:p>
            <w:r>
              <w:rPr>
                <w:sz w:val="20"/>
              </w:rPr>
              <w:t>p95 KL</w:t>
            </w:r>
          </w:p>
        </w:tc>
        <w:tc>
          <w:tcPr>
            <w:tcW w:type="dxa" w:w="1987"/>
          </w:tcPr>
          <w:p>
            <w:r>
              <w:rPr>
                <w:sz w:val="20"/>
              </w:rPr>
              <w:t>Maximum KL</w:t>
            </w:r>
          </w:p>
        </w:tc>
        <w:tc>
          <w:tcPr>
            <w:tcW w:type="dxa" w:w="1987"/>
          </w:tcPr>
          <w:p>
            <w:r>
              <w:rPr>
                <w:sz w:val="20"/>
              </w:rPr>
              <w:t>Top-1 changes</w:t>
            </w:r>
          </w:p>
        </w:tc>
      </w:tr>
      <w:tr>
        <w:trPr>
          <w:cantSplit/>
        </w:trPr>
        <w:tc>
          <w:tcPr>
            <w:tcW w:type="dxa" w:w="1987"/>
          </w:tcPr>
          <w:p>
            <w:r>
              <w:rPr>
                <w:sz w:val="20"/>
              </w:rPr>
              <w:t>LLAMA31_8B / 96</w:t>
            </w:r>
          </w:p>
        </w:tc>
        <w:tc>
          <w:tcPr>
            <w:tcW w:type="dxa" w:w="1987"/>
          </w:tcPr>
          <w:p>
            <w:r>
              <w:rPr>
                <w:sz w:val="20"/>
              </w:rPr>
              <w:t>0.0</w:t>
            </w:r>
          </w:p>
        </w:tc>
        <w:tc>
          <w:tcPr>
            <w:tcW w:type="dxa" w:w="1987"/>
          </w:tcPr>
          <w:p>
            <w:r>
              <w:rPr>
                <w:sz w:val="20"/>
              </w:rPr>
              <w:t>0.001568093430250883</w:t>
            </w:r>
          </w:p>
        </w:tc>
        <w:tc>
          <w:tcPr>
            <w:tcW w:type="dxa" w:w="1987"/>
          </w:tcPr>
          <w:p>
            <w:r>
              <w:rPr>
                <w:sz w:val="20"/>
              </w:rPr>
              <w:t>0.020511623471975327</w:t>
            </w:r>
          </w:p>
        </w:tc>
        <w:tc>
          <w:tcPr>
            <w:tcW w:type="dxa" w:w="1987"/>
          </w:tcPr>
          <w:p>
            <w:r>
              <w:rPr>
                <w:sz w:val="20"/>
              </w:rPr>
              <w:t>0</w:t>
            </w:r>
          </w:p>
        </w:tc>
      </w:tr>
      <w:tr>
        <w:trPr>
          <w:cantSplit/>
        </w:trPr>
        <w:tc>
          <w:tcPr>
            <w:tcW w:type="dxa" w:w="1987"/>
          </w:tcPr>
          <w:p>
            <w:r>
              <w:rPr>
                <w:sz w:val="20"/>
              </w:rPr>
              <w:t>QWEN3_14B / 96</w:t>
            </w:r>
          </w:p>
        </w:tc>
        <w:tc>
          <w:tcPr>
            <w:tcW w:type="dxa" w:w="1987"/>
          </w:tcPr>
          <w:p>
            <w:r>
              <w:rPr>
                <w:sz w:val="20"/>
              </w:rPr>
              <w:t>0.0</w:t>
            </w:r>
          </w:p>
        </w:tc>
        <w:tc>
          <w:tcPr>
            <w:tcW w:type="dxa" w:w="1987"/>
          </w:tcPr>
          <w:p>
            <w:r>
              <w:rPr>
                <w:sz w:val="20"/>
              </w:rPr>
              <w:t>0.00041855545714497566</w:t>
            </w:r>
          </w:p>
        </w:tc>
        <w:tc>
          <w:tcPr>
            <w:tcW w:type="dxa" w:w="1987"/>
          </w:tcPr>
          <w:p>
            <w:r>
              <w:rPr>
                <w:sz w:val="20"/>
              </w:rPr>
              <w:t>11.833429336547852</w:t>
            </w:r>
          </w:p>
        </w:tc>
        <w:tc>
          <w:tcPr>
            <w:tcW w:type="dxa" w:w="1987"/>
          </w:tcPr>
          <w:p>
            <w:r>
              <w:rPr>
                <w:sz w:val="20"/>
              </w:rPr>
              <w:t>2</w:t>
            </w:r>
          </w:p>
        </w:tc>
      </w:tr>
    </w:tbl>
    <w:p>
      <w:pPr>
        <w:pStyle w:val="Heading1"/>
      </w:pPr>
      <w:r>
        <w:t>S6 AMD Qwen3-32B multi-step replay</w:t>
      </w:r>
    </w:p>
    <w:p>
      <w:pPr/>
      <w:r>
        <w:t>The P8 formal run used eight frozen prompts and 24 frozen logical target locations on AMD Instinct MI308X. For each target, FP32, Binary32-Z, and HA-FBMS were tested, giving 72 cases. A single encoding-specific metadata bit was injected once into the initial full-cache representation. Targets were not reselected. Clean metadata was reconstructed locally on AMD at the frozen logical locations; the procedure is not an exact cross-backend clean-state reproduction. Teacher-forced and free-running greedy trajectories were evaluated at steps 1, 8, 16, and 32.</w:t>
      </w:r>
    </w:p>
    <w:p>
      <w:pPr/>
      <w:r>
        <w:t>Across the 24 locations, the maximum, mean, median, and 95th-percentile absolute log-scale reconstruction errors were 0.0109711178210, 0.00262167446419, 0, and 0.0106799379959. Eighteen locations were within 1e-3 and 1e-2, and all 24 were within 5e-2. These values document frozen-location transfer rather than bit-identical metadata words across backends.</w:t>
      </w:r>
    </w:p>
    <w:p>
      <w:pPr>
        <w:pStyle w:val="Caption"/>
      </w:pPr>
      <w:r>
        <w:t>Table S4. AMD Qwen3-32B multi-step replay</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512"/>
            <w:vAlign w:val="center"/>
            <w:tcMar>
              <w:top w:w="90" w:type="dxa"/>
              <w:start w:w="90" w:type="dxa"/>
              <w:bottom w:w="90" w:type="dxa"/>
              <w:end w:w="90" w:type="dxa"/>
            </w:tcMar>
            <w:shd w:fill="D9EAF7"/>
          </w:tcPr>
          <w:p>
            <w:pPr>
              <w:spacing w:after="0"/>
              <w:jc w:val="left"/>
            </w:pPr>
            <w:r>
              <w:rPr>
                <w:b/>
                <w:color w:val="000000"/>
                <w:sz w:val="17"/>
              </w:rPr>
              <w:t>Encoding</w:t>
            </w:r>
          </w:p>
        </w:tc>
        <w:tc>
          <w:tcPr>
            <w:tcW w:type="dxa" w:w="2232"/>
            <w:vAlign w:val="center"/>
            <w:tcMar>
              <w:top w:w="90" w:type="dxa"/>
              <w:start w:w="90" w:type="dxa"/>
              <w:bottom w:w="90" w:type="dxa"/>
              <w:end w:w="90" w:type="dxa"/>
            </w:tcMar>
            <w:shd w:fill="D9EAF7"/>
          </w:tcPr>
          <w:p>
            <w:pPr>
              <w:spacing w:after="0"/>
              <w:jc w:val="center"/>
            </w:pPr>
            <w:r>
              <w:rPr>
                <w:b/>
                <w:color w:val="000000"/>
                <w:sz w:val="17"/>
              </w:rPr>
              <w:t>Validity</w:t>
            </w:r>
          </w:p>
        </w:tc>
        <w:tc>
          <w:tcPr>
            <w:tcW w:type="dxa" w:w="3168"/>
            <w:vAlign w:val="center"/>
            <w:tcMar>
              <w:top w:w="90" w:type="dxa"/>
              <w:start w:w="90" w:type="dxa"/>
              <w:bottom w:w="90" w:type="dxa"/>
              <w:end w:w="90" w:type="dxa"/>
            </w:tcMar>
            <w:shd w:fill="D9EAF7"/>
          </w:tcPr>
          <w:p>
            <w:pPr>
              <w:spacing w:after="0"/>
              <w:jc w:val="center"/>
            </w:pPr>
            <w:r>
              <w:rPr>
                <w:b/>
                <w:color w:val="000000"/>
                <w:sz w:val="17"/>
              </w:rPr>
              <w:t>Diverged by steps 1 / 8 / 16 / 32</w:t>
            </w:r>
          </w:p>
        </w:tc>
        <w:tc>
          <w:tcPr>
            <w:tcW w:type="dxa" w:w="3240"/>
            <w:vAlign w:val="center"/>
            <w:tcMar>
              <w:top w:w="90" w:type="dxa"/>
              <w:start w:w="90" w:type="dxa"/>
              <w:bottom w:w="90" w:type="dxa"/>
              <w:end w:w="90" w:type="dxa"/>
            </w:tcMar>
            <w:shd w:fill="D9EAF7"/>
          </w:tcPr>
          <w:p>
            <w:pPr>
              <w:spacing w:after="0"/>
              <w:jc w:val="center"/>
            </w:pPr>
            <w:r>
              <w:rPr>
                <w:b/>
                <w:color w:val="000000"/>
                <w:sz w:val="17"/>
              </w:rPr>
              <w:t>Step-32 summary</w:t>
            </w:r>
          </w:p>
        </w:tc>
      </w:tr>
      <w:tr>
        <w:tc>
          <w:tcPr>
            <w:tcW w:type="dxa" w:w="1512"/>
            <w:vAlign w:val="center"/>
            <w:tcMar>
              <w:top w:w="90" w:type="dxa"/>
              <w:start w:w="90" w:type="dxa"/>
              <w:bottom w:w="90" w:type="dxa"/>
              <w:end w:w="90" w:type="dxa"/>
            </w:tcMar>
            <w:shd w:fill="FFFFFF"/>
          </w:tcPr>
          <w:p>
            <w:pPr>
              <w:spacing w:after="0"/>
              <w:jc w:val="left"/>
            </w:pPr>
            <w:r>
              <w:rPr>
                <w:color w:val="000000"/>
                <w:sz w:val="17"/>
              </w:rPr>
              <w:t>FP32</w:t>
            </w:r>
          </w:p>
        </w:tc>
        <w:tc>
          <w:tcPr>
            <w:tcW w:type="dxa" w:w="2232"/>
            <w:vAlign w:val="center"/>
            <w:tcMar>
              <w:top w:w="90" w:type="dxa"/>
              <w:start w:w="90" w:type="dxa"/>
              <w:bottom w:w="90" w:type="dxa"/>
              <w:end w:w="90" w:type="dxa"/>
            </w:tcMar>
            <w:shd w:fill="FFFFFF"/>
          </w:tcPr>
          <w:p>
            <w:pPr>
              <w:spacing w:after="0"/>
              <w:jc w:val="center"/>
            </w:pPr>
            <w:r>
              <w:rPr>
                <w:color w:val="000000"/>
                <w:sz w:val="17"/>
              </w:rPr>
              <w:t>0 valid; 24 invalid scales</w:t>
            </w:r>
          </w:p>
        </w:tc>
        <w:tc>
          <w:tcPr>
            <w:tcW w:type="dxa" w:w="3168"/>
            <w:vAlign w:val="center"/>
            <w:tcMar>
              <w:top w:w="90" w:type="dxa"/>
              <w:start w:w="90" w:type="dxa"/>
              <w:bottom w:w="90" w:type="dxa"/>
              <w:end w:w="90" w:type="dxa"/>
            </w:tcMar>
            <w:shd w:fill="FFFFFF"/>
          </w:tcPr>
          <w:p>
            <w:pPr>
              <w:spacing w:after="0"/>
              <w:jc w:val="center"/>
            </w:pPr>
            <w:r>
              <w:rPr>
                <w:color w:val="000000"/>
                <w:sz w:val="17"/>
              </w:rPr>
              <w:t>N/A</w:t>
            </w:r>
          </w:p>
        </w:tc>
        <w:tc>
          <w:tcPr>
            <w:tcW w:type="dxa" w:w="3240"/>
            <w:vAlign w:val="center"/>
            <w:tcMar>
              <w:top w:w="90" w:type="dxa"/>
              <w:start w:w="90" w:type="dxa"/>
              <w:bottom w:w="90" w:type="dxa"/>
              <w:end w:w="90" w:type="dxa"/>
            </w:tcMar>
            <w:shd w:fill="FFFFFF"/>
          </w:tcPr>
          <w:p>
            <w:pPr>
              <w:spacing w:after="0"/>
              <w:jc w:val="center"/>
            </w:pPr>
            <w:r>
              <w:rPr>
                <w:color w:val="000000"/>
                <w:sz w:val="17"/>
              </w:rPr>
              <w:t>Replay N/A</w:t>
            </w:r>
          </w:p>
        </w:tc>
      </w:tr>
      <w:tr>
        <w:tc>
          <w:tcPr>
            <w:tcW w:type="dxa" w:w="1512"/>
            <w:vAlign w:val="center"/>
            <w:tcMar>
              <w:top w:w="90" w:type="dxa"/>
              <w:start w:w="90" w:type="dxa"/>
              <w:bottom w:w="90" w:type="dxa"/>
              <w:end w:w="90" w:type="dxa"/>
            </w:tcMar>
            <w:shd w:fill="F5F9FC"/>
          </w:tcPr>
          <w:p>
            <w:pPr>
              <w:spacing w:after="0"/>
              <w:jc w:val="left"/>
            </w:pPr>
            <w:r>
              <w:rPr>
                <w:color w:val="000000"/>
                <w:sz w:val="17"/>
              </w:rPr>
              <w:t>Binary32-Z</w:t>
            </w:r>
          </w:p>
        </w:tc>
        <w:tc>
          <w:tcPr>
            <w:tcW w:type="dxa" w:w="2232"/>
            <w:vAlign w:val="center"/>
            <w:tcMar>
              <w:top w:w="90" w:type="dxa"/>
              <w:start w:w="90" w:type="dxa"/>
              <w:bottom w:w="90" w:type="dxa"/>
              <w:end w:w="90" w:type="dxa"/>
            </w:tcMar>
            <w:shd w:fill="F5F9FC"/>
          </w:tcPr>
          <w:p>
            <w:pPr>
              <w:spacing w:after="0"/>
              <w:jc w:val="center"/>
            </w:pPr>
            <w:r>
              <w:rPr>
                <w:color w:val="000000"/>
                <w:sz w:val="17"/>
              </w:rPr>
              <w:t>24 valid</w:t>
            </w:r>
          </w:p>
        </w:tc>
        <w:tc>
          <w:tcPr>
            <w:tcW w:type="dxa" w:w="3168"/>
            <w:vAlign w:val="center"/>
            <w:tcMar>
              <w:top w:w="90" w:type="dxa"/>
              <w:start w:w="90" w:type="dxa"/>
              <w:bottom w:w="90" w:type="dxa"/>
              <w:end w:w="90" w:type="dxa"/>
            </w:tcMar>
            <w:shd w:fill="F5F9FC"/>
          </w:tcPr>
          <w:p>
            <w:pPr>
              <w:spacing w:after="0"/>
              <w:jc w:val="center"/>
            </w:pPr>
            <w:r>
              <w:rPr>
                <w:color w:val="000000"/>
                <w:sz w:val="17"/>
              </w:rPr>
              <w:t>0 / 4 / 8 / 8</w:t>
            </w:r>
          </w:p>
        </w:tc>
        <w:tc>
          <w:tcPr>
            <w:tcW w:type="dxa" w:w="3240"/>
            <w:vAlign w:val="center"/>
            <w:tcMar>
              <w:top w:w="90" w:type="dxa"/>
              <w:start w:w="90" w:type="dxa"/>
              <w:bottom w:w="90" w:type="dxa"/>
              <w:end w:w="90" w:type="dxa"/>
            </w:tcMar>
            <w:shd w:fill="F5F9FC"/>
          </w:tcPr>
          <w:p>
            <w:pPr>
              <w:spacing w:after="0"/>
              <w:jc w:val="center"/>
            </w:pPr>
            <w:r>
              <w:rPr>
                <w:color w:val="000000"/>
                <w:sz w:val="17"/>
              </w:rPr>
              <w:t>TF agreement 0.9674; FR agreement 0.7734</w:t>
            </w:r>
          </w:p>
        </w:tc>
      </w:tr>
      <w:tr>
        <w:tc>
          <w:tcPr>
            <w:tcW w:type="dxa" w:w="1512"/>
            <w:vAlign w:val="center"/>
            <w:tcMar>
              <w:top w:w="90" w:type="dxa"/>
              <w:start w:w="90" w:type="dxa"/>
              <w:bottom w:w="90" w:type="dxa"/>
              <w:end w:w="90" w:type="dxa"/>
            </w:tcMar>
            <w:shd w:fill="FFFFFF"/>
          </w:tcPr>
          <w:p>
            <w:pPr>
              <w:spacing w:after="0"/>
              <w:jc w:val="left"/>
            </w:pPr>
            <w:r>
              <w:rPr>
                <w:color w:val="000000"/>
                <w:sz w:val="17"/>
              </w:rPr>
              <w:t>HA-FBMS</w:t>
            </w:r>
          </w:p>
        </w:tc>
        <w:tc>
          <w:tcPr>
            <w:tcW w:type="dxa" w:w="2232"/>
            <w:vAlign w:val="center"/>
            <w:tcMar>
              <w:top w:w="90" w:type="dxa"/>
              <w:start w:w="90" w:type="dxa"/>
              <w:bottom w:w="90" w:type="dxa"/>
              <w:end w:w="90" w:type="dxa"/>
            </w:tcMar>
            <w:shd w:fill="FFFFFF"/>
          </w:tcPr>
          <w:p>
            <w:pPr>
              <w:spacing w:after="0"/>
              <w:jc w:val="center"/>
            </w:pPr>
            <w:r>
              <w:rPr>
                <w:color w:val="000000"/>
                <w:sz w:val="17"/>
              </w:rPr>
              <w:t>24 valid</w:t>
            </w:r>
          </w:p>
        </w:tc>
        <w:tc>
          <w:tcPr>
            <w:tcW w:type="dxa" w:w="3168"/>
            <w:vAlign w:val="center"/>
            <w:tcMar>
              <w:top w:w="90" w:type="dxa"/>
              <w:start w:w="90" w:type="dxa"/>
              <w:bottom w:w="90" w:type="dxa"/>
              <w:end w:w="90" w:type="dxa"/>
            </w:tcMar>
            <w:shd w:fill="FFFFFF"/>
          </w:tcPr>
          <w:p>
            <w:pPr>
              <w:spacing w:after="0"/>
              <w:jc w:val="center"/>
            </w:pPr>
            <w:r>
              <w:rPr>
                <w:color w:val="000000"/>
                <w:sz w:val="17"/>
              </w:rPr>
              <w:t>0 / 2 / 4 / 5</w:t>
            </w:r>
          </w:p>
        </w:tc>
        <w:tc>
          <w:tcPr>
            <w:tcW w:type="dxa" w:w="3240"/>
            <w:vAlign w:val="center"/>
            <w:tcMar>
              <w:top w:w="90" w:type="dxa"/>
              <w:start w:w="90" w:type="dxa"/>
              <w:bottom w:w="90" w:type="dxa"/>
              <w:end w:w="90" w:type="dxa"/>
            </w:tcMar>
            <w:shd w:fill="FFFFFF"/>
          </w:tcPr>
          <w:p>
            <w:pPr>
              <w:spacing w:after="0"/>
              <w:jc w:val="center"/>
            </w:pPr>
            <w:r>
              <w:rPr>
                <w:color w:val="000000"/>
                <w:sz w:val="17"/>
              </w:rPr>
              <w:t>TF agreement 0.9909; FR agreement 0.8880</w:t>
            </w:r>
          </w:p>
        </w:tc>
      </w:tr>
    </w:tbl>
    <w:p>
      <w:pPr/>
      <w:r>
        <w:t>Binary32-Z and HA-FBMS teacher-forced maximum KL values were 9.6921710968 and 0.007775790989; mean-case mean KL values were 0.06949804767 and 0.000709157912. Free-running maximum KL values were 30.496213913 and 28.262727737, but values after first divergence are path-dependent. The test is localized logical injection over a finite frozen target set and a 32-step short horizon, not physical HBM injection, a hardware fault-rate estimate, or evidence of universal per-target dominance.</w:t>
      </w:r>
    </w:p>
    <w:p>
      <w:pPr>
        <w:pStyle w:val="Heading1"/>
      </w:pPr>
      <w:r>
        <w:t>S7 DDR mapping stability and source-aware generalization</w:t>
      </w:r>
    </w:p>
    <w:p>
      <w:pPr/>
      <w:r>
        <w:t>The 32 DDR scenarios have weak positional agreement. Across 351 valid scenario pairs, mean and median Spearman correlations are 0.1311 and 0.0414. Mean within-source agreement is 0.3844, compared with 0.1039 across sources. This pattern indicates limited transfer of position ordering across the evaluated scenario families; it does not imply that individual DDR fault profiles are physically uniform.</w:t>
      </w:r>
    </w:p>
    <w:p>
      <w:pPr/>
      <w:r>
        <w:t>The nested protocol uses five source-aware outer folds and grouped inner validation. Inner selection jointly evaluates shrinkage values of 0, 0.10, 0.25, 0.50, 0.75, and 1.0 and six frozen objectives. Complete shrinkage to uniform exposure with the mean objective is selected in all five outer folds. A fourfold multistart diagnostic yields no material calibration-objective improvement, so optimizer quality is not the dominant explanation for the generalization result.</w:t>
      </w:r>
    </w:p>
    <w:p>
      <w:pPr/>
      <w:r>
        <w:t>Fold-level normalized ratios are sensitive to small identity-risk denominators. Thirteen of 216 scenario-by-representation components fall below the prespecified near-zero threshold, and the minimum identity risk is 6.714686851432498e-05. The reconstructed maximum component ratio is 2047.996093750181. The mean and median outer-fold ratios are 59.62921164892907 and 8.31474160853205, and the largest fold ratio is 256.8573982635019. These values are retained for transparency but are not headline effect sizes.</w:t>
      </w:r>
    </w:p>
    <w:p>
      <w:pPr/>
      <w:r>
        <w:t>The extreme fold was reconstructed exactly from 48 held-out scenario-by-representation components. Six near-zero components contribute 255.99405924475042 to the fold mean of 256.8573982635019. P19 and P21 are not directly comparable: P19 pools exposure before forming representation-level ratios, whereas P21 forms scenario-level ratios before fold aggregation. The main text therefore retains the pooled P19 sensitivity metric and reports P21 as a source-aware distributional generalization audit.</w:t>
      </w:r>
    </w:p>
    <w:tbl>
      <w:tblPr>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D9EAF7"/>
          </w:tcPr>
          <w:p>
            <w:pPr>
              <w:jc w:val="center"/>
            </w:pPr>
            <w:r>
              <w:rPr>
                <w:b/>
              </w:rPr>
              <w:t>Evidence item</w:t>
            </w:r>
          </w:p>
        </w:tc>
        <w:tc>
          <w:tcPr>
            <w:tcW w:type="dxa" w:w="3312"/>
            <w:vAlign w:val="center"/>
            <w:tcMar>
              <w:top w:w="80" w:type="dxa"/>
              <w:start w:w="100" w:type="dxa"/>
              <w:bottom w:w="80" w:type="dxa"/>
              <w:end w:w="100" w:type="dxa"/>
            </w:tcMar>
            <w:shd w:fill="D9EAF7"/>
          </w:tcPr>
          <w:p>
            <w:pPr>
              <w:jc w:val="center"/>
            </w:pPr>
            <w:r>
              <w:rPr>
                <w:b/>
              </w:rPr>
              <w:t>Value</w:t>
            </w:r>
          </w:p>
        </w:tc>
        <w:tc>
          <w:tcPr>
            <w:tcW w:type="dxa" w:w="3312"/>
            <w:vAlign w:val="center"/>
            <w:tcMar>
              <w:top w:w="80" w:type="dxa"/>
              <w:start w:w="100" w:type="dxa"/>
              <w:bottom w:w="80" w:type="dxa"/>
              <w:end w:w="100" w:type="dxa"/>
            </w:tcMar>
            <w:shd w:fill="D9EAF7"/>
          </w:tcPr>
          <w:p>
            <w:pPr>
              <w:jc w:val="center"/>
            </w:pPr>
            <w:r>
              <w:rPr>
                <w:b/>
              </w:rPr>
              <w:t>Interpretation</w:t>
            </w:r>
          </w:p>
        </w:tc>
      </w:tr>
      <w:tr>
        <w:tc>
          <w:tcPr>
            <w:tcW w:type="dxa" w:w="3312"/>
            <w:vAlign w:val="center"/>
            <w:tcMar>
              <w:top w:w="80" w:type="dxa"/>
              <w:start w:w="100" w:type="dxa"/>
              <w:bottom w:w="80" w:type="dxa"/>
              <w:end w:w="100" w:type="dxa"/>
            </w:tcMar>
            <w:shd w:fill="FFFFFF"/>
          </w:tcPr>
          <w:p>
            <w:pPr>
              <w:jc w:val="center"/>
            </w:pPr>
            <w:r>
              <w:t>Pairwise Spearman</w:t>
            </w:r>
          </w:p>
        </w:tc>
        <w:tc>
          <w:tcPr>
            <w:tcW w:type="dxa" w:w="3312"/>
            <w:vAlign w:val="center"/>
            <w:tcMar>
              <w:top w:w="80" w:type="dxa"/>
              <w:start w:w="100" w:type="dxa"/>
              <w:bottom w:w="80" w:type="dxa"/>
              <w:end w:w="100" w:type="dxa"/>
            </w:tcMar>
            <w:shd w:fill="FFFFFF"/>
          </w:tcPr>
          <w:p>
            <w:pPr>
              <w:jc w:val="center"/>
            </w:pPr>
            <w:r>
              <w:t>Mean 0.1311; median 0.0414</w:t>
            </w:r>
          </w:p>
        </w:tc>
        <w:tc>
          <w:tcPr>
            <w:tcW w:type="dxa" w:w="3312"/>
            <w:vAlign w:val="center"/>
            <w:tcMar>
              <w:top w:w="80" w:type="dxa"/>
              <w:start w:w="100" w:type="dxa"/>
              <w:bottom w:w="80" w:type="dxa"/>
              <w:end w:w="100" w:type="dxa"/>
            </w:tcMar>
            <w:shd w:fill="FFFFFF"/>
          </w:tcPr>
          <w:p>
            <w:pPr>
              <w:jc w:val="left"/>
            </w:pPr>
            <w:r>
              <w:t>Weak cross-scenario position ordering</w:t>
            </w:r>
          </w:p>
        </w:tc>
      </w:tr>
      <w:tr>
        <w:tc>
          <w:tcPr>
            <w:tcW w:type="dxa" w:w="3312"/>
            <w:vAlign w:val="center"/>
            <w:tcMar>
              <w:top w:w="80" w:type="dxa"/>
              <w:start w:w="100" w:type="dxa"/>
              <w:bottom w:w="80" w:type="dxa"/>
              <w:end w:w="100" w:type="dxa"/>
            </w:tcMar>
            <w:shd w:fill="F5F8FA"/>
          </w:tcPr>
          <w:p>
            <w:pPr>
              <w:jc w:val="center"/>
            </w:pPr>
            <w:r>
              <w:t>Source comparison</w:t>
            </w:r>
          </w:p>
        </w:tc>
        <w:tc>
          <w:tcPr>
            <w:tcW w:type="dxa" w:w="3312"/>
            <w:vAlign w:val="center"/>
            <w:tcMar>
              <w:top w:w="80" w:type="dxa"/>
              <w:start w:w="100" w:type="dxa"/>
              <w:bottom w:w="80" w:type="dxa"/>
              <w:end w:w="100" w:type="dxa"/>
            </w:tcMar>
            <w:shd w:fill="F5F8FA"/>
          </w:tcPr>
          <w:p>
            <w:pPr>
              <w:jc w:val="center"/>
            </w:pPr>
            <w:r>
              <w:t>Within 0.3844; cross 0.1039</w:t>
            </w:r>
          </w:p>
        </w:tc>
        <w:tc>
          <w:tcPr>
            <w:tcW w:type="dxa" w:w="3312"/>
            <w:vAlign w:val="center"/>
            <w:tcMar>
              <w:top w:w="80" w:type="dxa"/>
              <w:start w:w="100" w:type="dxa"/>
              <w:bottom w:w="80" w:type="dxa"/>
              <w:end w:w="100" w:type="dxa"/>
            </w:tcMar>
            <w:shd w:fill="F5F8FA"/>
          </w:tcPr>
          <w:p>
            <w:pPr>
              <w:jc w:val="left"/>
            </w:pPr>
            <w:r>
              <w:t>Source-conditioned structure does not transfer strongly</w:t>
            </w:r>
          </w:p>
        </w:tc>
      </w:tr>
      <w:tr>
        <w:tc>
          <w:tcPr>
            <w:tcW w:type="dxa" w:w="3312"/>
            <w:vAlign w:val="center"/>
            <w:tcMar>
              <w:top w:w="80" w:type="dxa"/>
              <w:start w:w="100" w:type="dxa"/>
              <w:bottom w:w="80" w:type="dxa"/>
              <w:end w:w="100" w:type="dxa"/>
            </w:tcMar>
            <w:shd w:fill="FFFFFF"/>
          </w:tcPr>
          <w:p>
            <w:pPr>
              <w:jc w:val="center"/>
            </w:pPr>
            <w:r>
              <w:t>Nested selection</w:t>
            </w:r>
          </w:p>
        </w:tc>
        <w:tc>
          <w:tcPr>
            <w:tcW w:type="dxa" w:w="3312"/>
            <w:vAlign w:val="center"/>
            <w:tcMar>
              <w:top w:w="80" w:type="dxa"/>
              <w:start w:w="100" w:type="dxa"/>
              <w:bottom w:w="80" w:type="dxa"/>
              <w:end w:w="100" w:type="dxa"/>
            </w:tcMar>
            <w:shd w:fill="FFFFFF"/>
          </w:tcPr>
          <w:p>
            <w:pPr>
              <w:jc w:val="center"/>
            </w:pPr>
            <w:r>
              <w:t>lambda = 1.0 in 5/5 folds</w:t>
            </w:r>
          </w:p>
        </w:tc>
        <w:tc>
          <w:tcPr>
            <w:tcW w:type="dxa" w:w="3312"/>
            <w:vAlign w:val="center"/>
            <w:tcMar>
              <w:top w:w="80" w:type="dxa"/>
              <w:start w:w="100" w:type="dxa"/>
              <w:bottom w:w="80" w:type="dxa"/>
              <w:end w:w="100" w:type="dxa"/>
            </w:tcMar>
            <w:shd w:fill="FFFFFF"/>
          </w:tcPr>
          <w:p>
            <w:pPr>
              <w:jc w:val="left"/>
            </w:pPr>
            <w:r>
              <w:t>Position-specific weighting shrinks to uniform</w:t>
            </w:r>
          </w:p>
        </w:tc>
      </w:tr>
      <w:tr>
        <w:tc>
          <w:tcPr>
            <w:tcW w:type="dxa" w:w="3312"/>
            <w:vAlign w:val="center"/>
            <w:tcMar>
              <w:top w:w="80" w:type="dxa"/>
              <w:start w:w="100" w:type="dxa"/>
              <w:bottom w:w="80" w:type="dxa"/>
              <w:end w:w="100" w:type="dxa"/>
            </w:tcMar>
            <w:shd w:fill="F5F8FA"/>
          </w:tcPr>
          <w:p>
            <w:pPr>
              <w:jc w:val="center"/>
            </w:pPr>
            <w:r>
              <w:t>Optimizer diagnostic</w:t>
            </w:r>
          </w:p>
        </w:tc>
        <w:tc>
          <w:tcPr>
            <w:tcW w:type="dxa" w:w="3312"/>
            <w:vAlign w:val="center"/>
            <w:tcMar>
              <w:top w:w="80" w:type="dxa"/>
              <w:start w:w="100" w:type="dxa"/>
              <w:bottom w:w="80" w:type="dxa"/>
              <w:end w:w="100" w:type="dxa"/>
            </w:tcMar>
            <w:shd w:fill="F5F8FA"/>
          </w:tcPr>
          <w:p>
            <w:pPr>
              <w:jc w:val="center"/>
            </w:pPr>
            <w:r>
              <w:t>No material headroom</w:t>
            </w:r>
          </w:p>
        </w:tc>
        <w:tc>
          <w:tcPr>
            <w:tcW w:type="dxa" w:w="3312"/>
            <w:vAlign w:val="center"/>
            <w:tcMar>
              <w:top w:w="80" w:type="dxa"/>
              <w:start w:w="100" w:type="dxa"/>
              <w:bottom w:w="80" w:type="dxa"/>
              <w:end w:w="100" w:type="dxa"/>
            </w:tcMar>
            <w:shd w:fill="F5F8FA"/>
          </w:tcPr>
          <w:p>
            <w:pPr>
              <w:jc w:val="left"/>
            </w:pPr>
            <w:r>
              <w:t>Search budget is not the dominant limitation</w:t>
            </w:r>
          </w:p>
        </w:tc>
      </w:tr>
      <w:tr>
        <w:tc>
          <w:tcPr>
            <w:tcW w:type="dxa" w:w="3312"/>
            <w:vAlign w:val="center"/>
            <w:tcMar>
              <w:top w:w="80" w:type="dxa"/>
              <w:start w:w="100" w:type="dxa"/>
              <w:bottom w:w="80" w:type="dxa"/>
              <w:end w:w="100" w:type="dxa"/>
            </w:tcMar>
            <w:shd w:fill="FFFFFF"/>
          </w:tcPr>
          <w:p>
            <w:pPr>
              <w:jc w:val="center"/>
            </w:pPr>
            <w:r>
              <w:t>Denominator audit</w:t>
            </w:r>
          </w:p>
        </w:tc>
        <w:tc>
          <w:tcPr>
            <w:tcW w:type="dxa" w:w="3312"/>
            <w:vAlign w:val="center"/>
            <w:tcMar>
              <w:top w:w="80" w:type="dxa"/>
              <w:start w:w="100" w:type="dxa"/>
              <w:bottom w:w="80" w:type="dxa"/>
              <w:end w:w="100" w:type="dxa"/>
            </w:tcMar>
            <w:shd w:fill="FFFFFF"/>
          </w:tcPr>
          <w:p>
            <w:pPr>
              <w:jc w:val="left"/>
            </w:pPr>
            <w:r>
              <w:t>13/216 near zero; minimum 6.71e-05</w:t>
            </w:r>
          </w:p>
        </w:tc>
        <w:tc>
          <w:tcPr>
            <w:tcW w:type="dxa" w:w="3312"/>
            <w:vAlign w:val="center"/>
            <w:tcMar>
              <w:top w:w="80" w:type="dxa"/>
              <w:start w:w="100" w:type="dxa"/>
              <w:bottom w:w="80" w:type="dxa"/>
              <w:end w:w="100" w:type="dxa"/>
            </w:tcMar>
            <w:shd w:fill="FFFFFF"/>
          </w:tcPr>
          <w:p>
            <w:pPr>
              <w:jc w:val="left"/>
            </w:pPr>
            <w:r>
              <w:t>Mean ratios are denominator-sensitive</w:t>
            </w:r>
          </w:p>
        </w:tc>
      </w:tr>
      <w:tr>
        <w:tc>
          <w:tcPr>
            <w:tcW w:type="dxa" w:w="3312"/>
            <w:vAlign w:val="center"/>
            <w:tcMar>
              <w:top w:w="80" w:type="dxa"/>
              <w:start w:w="100" w:type="dxa"/>
              <w:bottom w:w="80" w:type="dxa"/>
              <w:end w:w="100" w:type="dxa"/>
            </w:tcMar>
            <w:shd w:fill="F5F8FA"/>
          </w:tcPr>
          <w:p>
            <w:pPr>
              <w:jc w:val="center"/>
            </w:pPr>
            <w:r>
              <w:t>Fold ratios</w:t>
            </w:r>
          </w:p>
        </w:tc>
        <w:tc>
          <w:tcPr>
            <w:tcW w:type="dxa" w:w="3312"/>
            <w:vAlign w:val="center"/>
            <w:tcMar>
              <w:top w:w="80" w:type="dxa"/>
              <w:start w:w="100" w:type="dxa"/>
              <w:bottom w:w="80" w:type="dxa"/>
              <w:end w:w="100" w:type="dxa"/>
            </w:tcMar>
            <w:shd w:fill="F5F8FA"/>
          </w:tcPr>
          <w:p>
            <w:pPr>
              <w:jc w:val="center"/>
            </w:pPr>
            <w:r>
              <w:t>Mean 59.6292; median 8.3147</w:t>
            </w:r>
          </w:p>
        </w:tc>
        <w:tc>
          <w:tcPr>
            <w:tcW w:type="dxa" w:w="3312"/>
            <w:vAlign w:val="center"/>
            <w:tcMar>
              <w:top w:w="80" w:type="dxa"/>
              <w:start w:w="100" w:type="dxa"/>
              <w:bottom w:w="80" w:type="dxa"/>
              <w:end w:w="100" w:type="dxa"/>
            </w:tcMar>
            <w:shd w:fill="F5F8FA"/>
          </w:tcPr>
          <w:p>
            <w:pPr>
              <w:jc w:val="left"/>
            </w:pPr>
            <w:r>
              <w:t>Distribution retained; mean is not a headline effect size</w:t>
            </w:r>
          </w:p>
        </w:tc>
      </w:tr>
      <w:tr>
        <w:tc>
          <w:tcPr>
            <w:tcW w:type="dxa" w:w="3312"/>
            <w:vAlign w:val="center"/>
            <w:tcMar>
              <w:top w:w="80" w:type="dxa"/>
              <w:start w:w="100" w:type="dxa"/>
              <w:bottom w:w="80" w:type="dxa"/>
              <w:end w:w="100" w:type="dxa"/>
            </w:tcMar>
            <w:shd w:fill="FFFFFF"/>
          </w:tcPr>
          <w:p>
            <w:pPr>
              <w:jc w:val="center"/>
            </w:pPr>
            <w:r>
              <w:t>Extreme reconstruction</w:t>
            </w:r>
          </w:p>
        </w:tc>
        <w:tc>
          <w:tcPr>
            <w:tcW w:type="dxa" w:w="3312"/>
            <w:vAlign w:val="center"/>
            <w:tcMar>
              <w:top w:w="80" w:type="dxa"/>
              <w:start w:w="100" w:type="dxa"/>
              <w:bottom w:w="80" w:type="dxa"/>
              <w:end w:w="100" w:type="dxa"/>
            </w:tcMar>
            <w:shd w:fill="FFFFFF"/>
          </w:tcPr>
          <w:p>
            <w:pPr>
              <w:jc w:val="left"/>
            </w:pPr>
            <w:r>
              <w:t>Maximum component ratio 2047.9961</w:t>
            </w:r>
          </w:p>
        </w:tc>
        <w:tc>
          <w:tcPr>
            <w:tcW w:type="dxa" w:w="3312"/>
            <w:vAlign w:val="center"/>
            <w:tcMar>
              <w:top w:w="80" w:type="dxa"/>
              <w:start w:w="100" w:type="dxa"/>
              <w:bottom w:w="80" w:type="dxa"/>
              <w:end w:w="100" w:type="dxa"/>
            </w:tcMar>
            <w:shd w:fill="FFFFFF"/>
          </w:tcPr>
          <w:p>
            <w:pPr>
              <w:jc w:val="left"/>
            </w:pPr>
            <w:r>
              <w:t>Traced to a small identity denominator</w:t>
            </w:r>
          </w:p>
        </w:tc>
      </w:tr>
    </w:tbl>
    <w:p>
      <w:pPr>
        <w:pStyle w:val="Caption"/>
      </w:pPr>
      <w:r>
        <w:t>Table S5. DDR positional stability and denominator audit</w:t>
      </w:r>
    </w:p>
    <w:p>
      <w:pPr>
        <w:pStyle w:val="Heading1"/>
      </w:pPr>
      <w:r>
        <w:t>S8 gfx942 runtime-permutation attribution</w:t>
      </w:r>
    </w:p>
    <w:p>
      <w:pPr/>
      <w:r>
        <w:t>The P2D follow-up uses frozen REP_0025 at 4,194,304 groups with 30 warmup rounds, 15 paired timing blocks, and 100 launches per timed block. Identity, identity-mapped NOOP, real non-identity mapped, and PREPERMUTED variants all pass functional checks. PREPERMUTED applies the same frozen logical permutation before the timed kernel, and its normalization round trip is exact.</w:t>
      </w:r>
    </w:p>
    <w:p>
      <w:pPr/>
      <w:r>
        <w:t>Median latencies are 1.024525032 ms for identity, 1.024526329 ms for NOOP, 1.332571640 ms for real mapped, and 1.023709145 ms for PREPERMUTED. Relative medians are -0.000328%, +30.074147%, and -0.078396% for NOOP, real mapped, and PREPERMUTED against identity. The real-mapped 95% interval is [+30.054129%, +30.088123%]. PREPERMUTED is near the identity scale, but its negative difference is not interpreted as acceleration.</w:t>
      </w:r>
    </w:p>
    <w:p>
      <w:pPr/>
      <w:r>
        <w:t>Static ISA ratios are 1.301205 for total instructions and 1.454545 for VALU instructions. The mapped path adds AND and shift operations; the audited census contains no V_BFE, V_BFI, or V_PERM instruction and no scratch or LDS instruction. Dynamic ratios are 1.354430 for total executed instructions, 1.509091 for executed VALU instructions, 1.247829 for wave cycles, and 1.277183 for CU busy cycles.</w:t>
      </w:r>
    </w:p>
    <w:p>
      <w:pPr/>
      <w:r>
        <w:t>VMEM instruction ratio is 1.000000. TCC fetch, hit, and miss ratios are 1.000004, 1.000033, and 1.000001. Scratch use is zero, LDS traffic is absent, and occupancy ratio is 0.976859 rather than a collapse. This negative evidence rules against memory traffic, cache behavior, spilling, LDS traffic, and occupancy collapse as the primary cause under the measured protocol.</w:t>
      </w:r>
    </w:p>
    <w:p>
      <w:pPr/>
      <w:r>
        <w:t>The controlled A/B supports runtime non-identity permutation as the cause of the measured gfx942 kernel penalty. It does not assign an intrinsic 30% cost to HA-FBMS, establish an H800 cause, or measure end-to-end serving latency. Pre-normalization removes the timed-kernel penalty in this implementation, but is not claimed to be universally free.</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D9EAF7"/>
          </w:tcPr>
          <w:p>
            <w:pPr>
              <w:jc w:val="center"/>
            </w:pPr>
            <w:r>
              <w:rPr>
                <w:b/>
              </w:rPr>
              <w:t>Variant</w:t>
            </w:r>
          </w:p>
        </w:tc>
        <w:tc>
          <w:tcPr>
            <w:tcW w:type="dxa" w:w="2484"/>
            <w:vAlign w:val="center"/>
            <w:tcMar>
              <w:top w:w="80" w:type="dxa"/>
              <w:start w:w="100" w:type="dxa"/>
              <w:bottom w:w="80" w:type="dxa"/>
              <w:end w:w="100" w:type="dxa"/>
            </w:tcMar>
            <w:shd w:fill="D9EAF7"/>
          </w:tcPr>
          <w:p>
            <w:pPr>
              <w:jc w:val="center"/>
            </w:pPr>
            <w:r>
              <w:rPr>
                <w:b/>
              </w:rPr>
              <w:t>Median ms</w:t>
            </w:r>
          </w:p>
        </w:tc>
        <w:tc>
          <w:tcPr>
            <w:tcW w:type="dxa" w:w="2484"/>
            <w:vAlign w:val="center"/>
            <w:tcMar>
              <w:top w:w="80" w:type="dxa"/>
              <w:start w:w="100" w:type="dxa"/>
              <w:bottom w:w="80" w:type="dxa"/>
              <w:end w:w="100" w:type="dxa"/>
            </w:tcMar>
            <w:shd w:fill="D9EAF7"/>
          </w:tcPr>
          <w:p>
            <w:pPr>
              <w:jc w:val="center"/>
            </w:pPr>
            <w:r>
              <w:rPr>
                <w:b/>
              </w:rPr>
              <w:t>Relative median</w:t>
            </w:r>
          </w:p>
        </w:tc>
        <w:tc>
          <w:tcPr>
            <w:tcW w:type="dxa" w:w="2484"/>
            <w:vAlign w:val="center"/>
            <w:tcMar>
              <w:top w:w="80" w:type="dxa"/>
              <w:start w:w="100" w:type="dxa"/>
              <w:bottom w:w="80" w:type="dxa"/>
              <w:end w:w="100" w:type="dxa"/>
            </w:tcMar>
            <w:shd w:fill="D9EAF7"/>
          </w:tcPr>
          <w:p>
            <w:pPr>
              <w:jc w:val="center"/>
            </w:pPr>
            <w:r>
              <w:rPr>
                <w:b/>
              </w:rPr>
              <w:t>Functional check</w:t>
            </w:r>
          </w:p>
        </w:tc>
      </w:tr>
      <w:tr>
        <w:tc>
          <w:tcPr>
            <w:tcW w:type="dxa" w:w="2484"/>
            <w:vAlign w:val="center"/>
            <w:tcMar>
              <w:top w:w="80" w:type="dxa"/>
              <w:start w:w="100" w:type="dxa"/>
              <w:bottom w:w="80" w:type="dxa"/>
              <w:end w:w="100" w:type="dxa"/>
            </w:tcMar>
            <w:shd w:fill="FFFFFF"/>
          </w:tcPr>
          <w:p>
            <w:pPr>
              <w:jc w:val="center"/>
            </w:pPr>
            <w:r>
              <w:t>Identity</w:t>
            </w:r>
          </w:p>
        </w:tc>
        <w:tc>
          <w:tcPr>
            <w:tcW w:type="dxa" w:w="2484"/>
            <w:vAlign w:val="center"/>
            <w:tcMar>
              <w:top w:w="80" w:type="dxa"/>
              <w:start w:w="100" w:type="dxa"/>
              <w:bottom w:w="80" w:type="dxa"/>
              <w:end w:w="100" w:type="dxa"/>
            </w:tcMar>
            <w:shd w:fill="FFFFFF"/>
          </w:tcPr>
          <w:p>
            <w:pPr>
              <w:jc w:val="center"/>
            </w:pPr>
            <w:r>
              <w:t>1.024525032</w:t>
            </w:r>
          </w:p>
        </w:tc>
        <w:tc>
          <w:tcPr>
            <w:tcW w:type="dxa" w:w="2484"/>
            <w:vAlign w:val="center"/>
            <w:tcMar>
              <w:top w:w="80" w:type="dxa"/>
              <w:start w:w="100" w:type="dxa"/>
              <w:bottom w:w="80" w:type="dxa"/>
              <w:end w:w="100" w:type="dxa"/>
            </w:tcMar>
            <w:shd w:fill="FFFFFF"/>
          </w:tcPr>
          <w:p>
            <w:pPr>
              <w:jc w:val="center"/>
            </w:pPr>
            <w:r>
              <w:t>reference</w:t>
            </w:r>
          </w:p>
        </w:tc>
        <w:tc>
          <w:tcPr>
            <w:tcW w:type="dxa" w:w="2484"/>
            <w:vAlign w:val="center"/>
            <w:tcMar>
              <w:top w:w="80" w:type="dxa"/>
              <w:start w:w="100" w:type="dxa"/>
              <w:bottom w:w="80" w:type="dxa"/>
              <w:end w:w="100" w:type="dxa"/>
            </w:tcMar>
            <w:shd w:fill="FFFFFF"/>
          </w:tcPr>
          <w:p>
            <w:pPr>
              <w:jc w:val="center"/>
            </w:pPr>
            <w:r>
              <w:t>pass</w:t>
            </w:r>
          </w:p>
        </w:tc>
      </w:tr>
      <w:tr>
        <w:tc>
          <w:tcPr>
            <w:tcW w:type="dxa" w:w="2484"/>
            <w:vAlign w:val="center"/>
            <w:tcMar>
              <w:top w:w="80" w:type="dxa"/>
              <w:start w:w="100" w:type="dxa"/>
              <w:bottom w:w="80" w:type="dxa"/>
              <w:end w:w="100" w:type="dxa"/>
            </w:tcMar>
            <w:shd w:fill="F5F8FA"/>
          </w:tcPr>
          <w:p>
            <w:pPr>
              <w:jc w:val="center"/>
            </w:pPr>
            <w:r>
              <w:t>Identity NOOP</w:t>
            </w:r>
          </w:p>
        </w:tc>
        <w:tc>
          <w:tcPr>
            <w:tcW w:type="dxa" w:w="2484"/>
            <w:vAlign w:val="center"/>
            <w:tcMar>
              <w:top w:w="80" w:type="dxa"/>
              <w:start w:w="100" w:type="dxa"/>
              <w:bottom w:w="80" w:type="dxa"/>
              <w:end w:w="100" w:type="dxa"/>
            </w:tcMar>
            <w:shd w:fill="F5F8FA"/>
          </w:tcPr>
          <w:p>
            <w:pPr>
              <w:jc w:val="center"/>
            </w:pPr>
            <w:r>
              <w:t>1.024526329</w:t>
            </w:r>
          </w:p>
        </w:tc>
        <w:tc>
          <w:tcPr>
            <w:tcW w:type="dxa" w:w="2484"/>
            <w:vAlign w:val="center"/>
            <w:tcMar>
              <w:top w:w="80" w:type="dxa"/>
              <w:start w:w="100" w:type="dxa"/>
              <w:bottom w:w="80" w:type="dxa"/>
              <w:end w:w="100" w:type="dxa"/>
            </w:tcMar>
            <w:shd w:fill="F5F8FA"/>
          </w:tcPr>
          <w:p>
            <w:pPr>
              <w:jc w:val="center"/>
            </w:pPr>
            <w:r>
              <w:t>-0.000328%</w:t>
            </w:r>
          </w:p>
        </w:tc>
        <w:tc>
          <w:tcPr>
            <w:tcW w:type="dxa" w:w="2484"/>
            <w:vAlign w:val="center"/>
            <w:tcMar>
              <w:top w:w="80" w:type="dxa"/>
              <w:start w:w="100" w:type="dxa"/>
              <w:bottom w:w="80" w:type="dxa"/>
              <w:end w:w="100" w:type="dxa"/>
            </w:tcMar>
            <w:shd w:fill="F5F8FA"/>
          </w:tcPr>
          <w:p>
            <w:pPr>
              <w:jc w:val="center"/>
            </w:pPr>
            <w:r>
              <w:t>pass</w:t>
            </w:r>
          </w:p>
        </w:tc>
      </w:tr>
      <w:tr>
        <w:tc>
          <w:tcPr>
            <w:tcW w:type="dxa" w:w="2484"/>
            <w:vAlign w:val="center"/>
            <w:tcMar>
              <w:top w:w="80" w:type="dxa"/>
              <w:start w:w="100" w:type="dxa"/>
              <w:bottom w:w="80" w:type="dxa"/>
              <w:end w:w="100" w:type="dxa"/>
            </w:tcMar>
            <w:shd w:fill="FFFFFF"/>
          </w:tcPr>
          <w:p>
            <w:pPr>
              <w:jc w:val="center"/>
            </w:pPr>
            <w:r>
              <w:t>Real mapped</w:t>
            </w:r>
          </w:p>
        </w:tc>
        <w:tc>
          <w:tcPr>
            <w:tcW w:type="dxa" w:w="2484"/>
            <w:vAlign w:val="center"/>
            <w:tcMar>
              <w:top w:w="80" w:type="dxa"/>
              <w:start w:w="100" w:type="dxa"/>
              <w:bottom w:w="80" w:type="dxa"/>
              <w:end w:w="100" w:type="dxa"/>
            </w:tcMar>
            <w:shd w:fill="FFFFFF"/>
          </w:tcPr>
          <w:p>
            <w:pPr>
              <w:jc w:val="center"/>
            </w:pPr>
            <w:r>
              <w:t>1.332571640</w:t>
            </w:r>
          </w:p>
        </w:tc>
        <w:tc>
          <w:tcPr>
            <w:tcW w:type="dxa" w:w="2484"/>
            <w:vAlign w:val="center"/>
            <w:tcMar>
              <w:top w:w="80" w:type="dxa"/>
              <w:start w:w="100" w:type="dxa"/>
              <w:bottom w:w="80" w:type="dxa"/>
              <w:end w:w="100" w:type="dxa"/>
            </w:tcMar>
            <w:shd w:fill="FFFFFF"/>
          </w:tcPr>
          <w:p>
            <w:pPr>
              <w:jc w:val="center"/>
            </w:pPr>
            <w:r>
              <w:t>+30.074147%</w:t>
            </w:r>
          </w:p>
        </w:tc>
        <w:tc>
          <w:tcPr>
            <w:tcW w:type="dxa" w:w="2484"/>
            <w:vAlign w:val="center"/>
            <w:tcMar>
              <w:top w:w="80" w:type="dxa"/>
              <w:start w:w="100" w:type="dxa"/>
              <w:bottom w:w="80" w:type="dxa"/>
              <w:end w:w="100" w:type="dxa"/>
            </w:tcMar>
            <w:shd w:fill="FFFFFF"/>
          </w:tcPr>
          <w:p>
            <w:pPr>
              <w:jc w:val="center"/>
            </w:pPr>
            <w:r>
              <w:t>pass</w:t>
            </w:r>
          </w:p>
        </w:tc>
      </w:tr>
      <w:tr>
        <w:tc>
          <w:tcPr>
            <w:tcW w:type="dxa" w:w="2484"/>
            <w:vAlign w:val="center"/>
            <w:tcMar>
              <w:top w:w="80" w:type="dxa"/>
              <w:start w:w="100" w:type="dxa"/>
              <w:bottom w:w="80" w:type="dxa"/>
              <w:end w:w="100" w:type="dxa"/>
            </w:tcMar>
            <w:shd w:fill="F5F8FA"/>
          </w:tcPr>
          <w:p>
            <w:pPr>
              <w:jc w:val="center"/>
            </w:pPr>
            <w:r>
              <w:t>PREPERMUTED</w:t>
            </w:r>
          </w:p>
        </w:tc>
        <w:tc>
          <w:tcPr>
            <w:tcW w:type="dxa" w:w="2484"/>
            <w:vAlign w:val="center"/>
            <w:tcMar>
              <w:top w:w="80" w:type="dxa"/>
              <w:start w:w="100" w:type="dxa"/>
              <w:bottom w:w="80" w:type="dxa"/>
              <w:end w:w="100" w:type="dxa"/>
            </w:tcMar>
            <w:shd w:fill="F5F8FA"/>
          </w:tcPr>
          <w:p>
            <w:pPr>
              <w:jc w:val="center"/>
            </w:pPr>
            <w:r>
              <w:t>1.023709145</w:t>
            </w:r>
          </w:p>
        </w:tc>
        <w:tc>
          <w:tcPr>
            <w:tcW w:type="dxa" w:w="2484"/>
            <w:vAlign w:val="center"/>
            <w:tcMar>
              <w:top w:w="80" w:type="dxa"/>
              <w:start w:w="100" w:type="dxa"/>
              <w:bottom w:w="80" w:type="dxa"/>
              <w:end w:w="100" w:type="dxa"/>
            </w:tcMar>
            <w:shd w:fill="F5F8FA"/>
          </w:tcPr>
          <w:p>
            <w:pPr>
              <w:jc w:val="center"/>
            </w:pPr>
            <w:r>
              <w:t>-0.078396%</w:t>
            </w:r>
          </w:p>
        </w:tc>
        <w:tc>
          <w:tcPr>
            <w:tcW w:type="dxa" w:w="2484"/>
            <w:vAlign w:val="center"/>
            <w:tcMar>
              <w:top w:w="80" w:type="dxa"/>
              <w:start w:w="100" w:type="dxa"/>
              <w:bottom w:w="80" w:type="dxa"/>
              <w:end w:w="100" w:type="dxa"/>
            </w:tcMar>
            <w:shd w:fill="F5F8FA"/>
          </w:tcPr>
          <w:p>
            <w:pPr>
              <w:jc w:val="center"/>
            </w:pPr>
            <w:r>
              <w:t>pass; round trip exact</w:t>
            </w:r>
          </w:p>
        </w:tc>
      </w:tr>
    </w:tbl>
    <w:p>
      <w:pPr>
        <w:pStyle w:val="Caption"/>
      </w:pPr>
      <w:r>
        <w:t>Table S6. Controlled gfx942 causal A/B</w:t>
      </w:r>
    </w:p>
    <w:p>
      <w:pPr>
        <w:pStyle w:val="Heading1"/>
      </w:pPr>
      <w:r>
        <w:t>S9 Implementation and archive provenance</w:t>
      </w:r>
    </w:p>
    <w:p>
      <w:r>
        <w:t>Historical public artifact: v1.5.0-tjs-final. The frozen release is https://github.com/psybao/MetaKV/releases/tag/v1.5.0-tjs-final at commit e342a837b5bc39e593ac2106d3f1644880fc9ab6, archived at https://doi.org/10.5281/zenodo.22750136. This archive includes the CPU and Apple M4 portability evidence and its provenance; the frozen scientific numbers and earlier historical releases remain unchanged.</w:t>
      </w:r>
    </w:p>
    <w:p>
      <w:pPr>
        <w:pStyle w:val="Caption"/>
      </w:pPr>
      <w:r>
        <w:t>Table S7. Frozen deployment inputs</w:t>
      </w:r>
    </w:p>
    <w:tbl>
      <w:tblPr>
        <w:tblStyle w:val="TableGrid"/>
        <w:tblW w:type="auto" w:w="0"/>
        <w:tblLook w:firstColumn="1" w:firstRow="1" w:lastColumn="0" w:lastRow="0" w:noHBand="0" w:noVBand="1" w:val="04A0"/>
        <w:tblBorders>
          <w:left w:val="nil"/>
          <w:right w:val="nil"/>
          <w:insideV w:val="nil"/>
        </w:tblBorders>
      </w:tblPr>
      <w:tblGrid>
        <w:gridCol w:w="4968"/>
        <w:gridCol w:w="4968"/>
      </w:tblGrid>
      <w:tr>
        <w:trPr>
          <w:cantSplit/>
          <w:tblHeader/>
        </w:trPr>
        <w:tc>
          <w:tcPr>
            <w:tcW w:type="dxa" w:w="4968"/>
          </w:tcPr>
          <w:p>
            <w:r>
              <w:rPr>
                <w:sz w:val="20"/>
              </w:rPr>
              <w:t>Artifact</w:t>
            </w:r>
          </w:p>
        </w:tc>
        <w:tc>
          <w:tcPr>
            <w:tcW w:type="dxa" w:w="4968"/>
          </w:tcPr>
          <w:p>
            <w:r>
              <w:rPr>
                <w:sz w:val="20"/>
              </w:rPr>
              <w:t>SHA256</w:t>
            </w:r>
          </w:p>
        </w:tc>
      </w:tr>
      <w:tr>
        <w:trPr>
          <w:cantSplit/>
        </w:trPr>
        <w:tc>
          <w:tcPr>
            <w:tcW w:type="dxa" w:w="4968"/>
          </w:tcPr>
          <w:p>
            <w:r>
              <w:rPr>
                <w:sz w:val="20"/>
              </w:rPr>
              <w:t>P1E reference script</w:t>
            </w:r>
          </w:p>
        </w:tc>
        <w:tc>
          <w:tcPr>
            <w:tcW w:type="dxa" w:w="4968"/>
          </w:tcPr>
          <w:p>
            <w:r>
              <w:rPr>
                <w:sz w:val="20"/>
              </w:rPr>
              <w:t>cd6a48684214a8e3b453f3b8f32e7123fe9e689a265d96511aa9956b7ff18c61</w:t>
            </w:r>
          </w:p>
        </w:tc>
      </w:tr>
      <w:tr>
        <w:trPr>
          <w:cantSplit/>
        </w:trPr>
        <w:tc>
          <w:tcPr>
            <w:tcW w:type="dxa" w:w="4968"/>
          </w:tcPr>
          <w:p>
            <w:r>
              <w:rPr>
                <w:sz w:val="20"/>
              </w:rPr>
              <w:t>Representation CSV</w:t>
            </w:r>
          </w:p>
        </w:tc>
        <w:tc>
          <w:tcPr>
            <w:tcW w:type="dxa" w:w="4968"/>
          </w:tcPr>
          <w:p>
            <w:r>
              <w:rPr>
                <w:sz w:val="20"/>
              </w:rPr>
              <w:t>21c366e0b731152a8356673cbe4adfc03f5720010485ed1094f20ad8e1f5fb05</w:t>
            </w:r>
          </w:p>
        </w:tc>
      </w:tr>
      <w:tr>
        <w:trPr>
          <w:cantSplit/>
        </w:trPr>
        <w:tc>
          <w:tcPr>
            <w:tcW w:type="dxa" w:w="4968"/>
          </w:tcPr>
          <w:p>
            <w:r>
              <w:rPr>
                <w:sz w:val="20"/>
              </w:rPr>
              <w:t>Mapping JSON</w:t>
            </w:r>
          </w:p>
        </w:tc>
        <w:tc>
          <w:tcPr>
            <w:tcW w:type="dxa" w:w="4968"/>
          </w:tcPr>
          <w:p>
            <w:r>
              <w:rPr>
                <w:sz w:val="20"/>
              </w:rPr>
              <w:t>d7cd28781a259371419511e3ca5e74ba78358888596833574c13fb92c53da367</w:t>
            </w:r>
          </w:p>
        </w:tc>
      </w:tr>
    </w:tbl>
    <w:p>
      <w:r>
        <w:t>No additional supplementary figure is needed: manuscript Figures 1–6 already show the implementation path, representation geometry, characterization, deployment, model scale-up, and semantic response. Tables S1-S7 provide the supplementary numeric and provenance detail without creating new observations.</w:t>
      </w:r>
    </w:p>
    <w:p>
      <w:r>
        <w:br w:type="page"/>
      </w:r>
    </w:p>
    <w:p>
      <w:pPr>
        <w:pStyle w:val="Heading1"/>
      </w:pPr>
      <w:r>
        <w:t>S10 Cross-ISA CPU and Apple M4 portability evidence</w:t>
      </w:r>
    </w:p>
    <w:p>
      <w:r>
        <w:t>Article: MetaKV: Fault-Resilient Structured Metadata for Low-Precision LLM KV Caches</w:t>
      </w:r>
    </w:p>
    <w:p>
      <w:r>
        <w:t>Author: Ziyang Yi; Independent Researcher; eayon.yi@qq.com</w:t>
      </w:r>
    </w:p>
    <w:p>
      <w:pPr>
        <w:pStyle w:val="Heading2"/>
      </w:pPr>
      <w:r>
        <w:t>Cross-ISA CPU codec microbenchmarks</w:t>
      </w:r>
    </w:p>
    <w:p>
      <w:r>
        <w:t>Frozen experiments use the same 4,194,304-group workload, four representative configurations, 1/4/8 OpenMP threads, two warmup runs, 15 paired blocks, and 10,000 bootstrap resamples on Intel Core i7-14700KF, AMD Ryzen 7 7840HS, and Apple M4. The compiler-controlled x86-64 packages use clang 23.1.0; the Apple ARM64 package uses Homebrew clang 23.1.0 with libomp. Results are portability microbenchmarks, not GPU benchmarks or end-to-end LLM latency measurements.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4"/>
              </w:rPr>
              <w:t>Platform</w:t>
            </w:r>
          </w:p>
        </w:tc>
        <w:tc>
          <w:tcPr>
            <w:tcW w:type="dxa" w:w="1656"/>
          </w:tcPr>
          <w:p>
            <w:r>
              <w:rPr>
                <w:b/>
                <w:sz w:val="14"/>
              </w:rPr>
              <w:t>ISA / OS</w:t>
            </w:r>
          </w:p>
        </w:tc>
        <w:tc>
          <w:tcPr>
            <w:tcW w:type="dxa" w:w="1656"/>
          </w:tcPr>
          <w:p>
            <w:r>
              <w:rPr>
                <w:b/>
                <w:sz w:val="14"/>
              </w:rPr>
              <w:t>Compiler/runtime</w:t>
            </w:r>
          </w:p>
        </w:tc>
        <w:tc>
          <w:tcPr>
            <w:tcW w:type="dxa" w:w="1656"/>
          </w:tcPr>
          <w:p>
            <w:r>
              <w:rPr>
                <w:b/>
                <w:sz w:val="14"/>
              </w:rPr>
              <w:t>Workload</w:t>
            </w:r>
          </w:p>
        </w:tc>
        <w:tc>
          <w:tcPr>
            <w:tcW w:type="dxa" w:w="1656"/>
          </w:tcPr>
          <w:p>
            <w:r>
              <w:rPr>
                <w:b/>
                <w:sz w:val="14"/>
              </w:rPr>
              <w:t>Maximum absolute median difference (95% CI)</w:t>
            </w:r>
          </w:p>
        </w:tc>
        <w:tc>
          <w:tcPr>
            <w:tcW w:type="dxa" w:w="1656"/>
          </w:tcPr>
          <w:p>
            <w:r>
              <w:rPr>
                <w:b/>
                <w:sz w:val="14"/>
              </w:rPr>
              <w:t>Validation</w:t>
            </w:r>
          </w:p>
        </w:tc>
      </w:tr>
      <w:tr>
        <w:tc>
          <w:tcPr>
            <w:tcW w:type="dxa" w:w="1656"/>
            <w:vAlign w:val="center"/>
          </w:tcPr>
          <w:p>
            <w:pPr>
              <w:spacing w:after="0"/>
            </w:pPr>
            <w:r>
              <w:rPr>
                <w:sz w:val="14"/>
              </w:rPr>
              <w:t>Intel Core i7-14700KF</w:t>
            </w:r>
          </w:p>
        </w:tc>
        <w:tc>
          <w:tcPr>
            <w:tcW w:type="dxa" w:w="1656"/>
            <w:vAlign w:val="center"/>
          </w:tcPr>
          <w:p>
            <w:pPr>
              <w:spacing w:after="0"/>
            </w:pPr>
            <w:r>
              <w:rPr>
                <w:sz w:val="14"/>
              </w:rPr>
              <w:t>x86-64 / Windows</w:t>
            </w:r>
          </w:p>
        </w:tc>
        <w:tc>
          <w:tcPr>
            <w:tcW w:type="dxa" w:w="1656"/>
            <w:vAlign w:val="center"/>
          </w:tcPr>
          <w:p>
            <w:pPr>
              <w:spacing w:after="0"/>
            </w:pPr>
            <w:r>
              <w:rPr>
                <w:sz w:val="14"/>
              </w:rPr>
              <w:t>LLVM-MinGW clang 23.1.0; OpenMP</w:t>
            </w:r>
          </w:p>
        </w:tc>
        <w:tc>
          <w:tcPr>
            <w:tcW w:type="dxa" w:w="1656"/>
            <w:vAlign w:val="center"/>
          </w:tcPr>
          <w:p>
            <w:pPr>
              <w:spacing w:after="0"/>
            </w:pPr>
            <w:r>
              <w:rPr>
                <w:sz w:val="14"/>
              </w:rPr>
              <w:t>4,194,304 groups; 4 reps; 1/4/8 threads</w:t>
            </w:r>
          </w:p>
        </w:tc>
        <w:tc>
          <w:tcPr>
            <w:tcW w:type="dxa" w:w="1656"/>
            <w:vAlign w:val="center"/>
          </w:tcPr>
          <w:p>
            <w:pPr>
              <w:spacing w:after="0"/>
            </w:pPr>
            <w:r>
              <w:rPr>
                <w:sz w:val="14"/>
              </w:rPr>
              <w:t>5.277% (0.766%, 10.290%)</w:t>
            </w:r>
          </w:p>
        </w:tc>
        <w:tc>
          <w:tcPr>
            <w:tcW w:type="dxa" w:w="1656"/>
            <w:vAlign w:val="center"/>
          </w:tcPr>
          <w:p>
            <w:pPr>
              <w:spacing w:after="0"/>
            </w:pPr>
            <w:r>
              <w:rPr>
                <w:sz w:val="14"/>
              </w:rPr>
              <w:t>12/12 within 8%; PASS</w:t>
            </w:r>
          </w:p>
        </w:tc>
      </w:tr>
      <w:tr>
        <w:tc>
          <w:tcPr>
            <w:tcW w:type="dxa" w:w="1656"/>
            <w:vAlign w:val="center"/>
          </w:tcPr>
          <w:p>
            <w:pPr>
              <w:spacing w:after="0"/>
            </w:pPr>
            <w:r>
              <w:rPr>
                <w:sz w:val="14"/>
              </w:rPr>
              <w:t>AMD Ryzen 7 7840HS</w:t>
            </w:r>
          </w:p>
        </w:tc>
        <w:tc>
          <w:tcPr>
            <w:tcW w:type="dxa" w:w="1656"/>
            <w:vAlign w:val="center"/>
          </w:tcPr>
          <w:p>
            <w:pPr>
              <w:spacing w:after="0"/>
            </w:pPr>
            <w:r>
              <w:rPr>
                <w:sz w:val="14"/>
              </w:rPr>
              <w:t>x86-64 / Windows</w:t>
            </w:r>
          </w:p>
        </w:tc>
        <w:tc>
          <w:tcPr>
            <w:tcW w:type="dxa" w:w="1656"/>
            <w:vAlign w:val="center"/>
          </w:tcPr>
          <w:p>
            <w:pPr>
              <w:spacing w:after="0"/>
            </w:pPr>
            <w:r>
              <w:rPr>
                <w:sz w:val="14"/>
              </w:rPr>
              <w:t>LLVM-MinGW clang 23.1.0; OpenMP</w:t>
            </w:r>
          </w:p>
        </w:tc>
        <w:tc>
          <w:tcPr>
            <w:tcW w:type="dxa" w:w="1656"/>
            <w:vAlign w:val="center"/>
          </w:tcPr>
          <w:p>
            <w:pPr>
              <w:spacing w:after="0"/>
            </w:pPr>
            <w:r>
              <w:rPr>
                <w:sz w:val="14"/>
              </w:rPr>
              <w:t>4,194,304 groups; 4 reps; 1/4/8 threads</w:t>
            </w:r>
          </w:p>
        </w:tc>
        <w:tc>
          <w:tcPr>
            <w:tcW w:type="dxa" w:w="1656"/>
            <w:vAlign w:val="center"/>
          </w:tcPr>
          <w:p>
            <w:pPr>
              <w:spacing w:after="0"/>
            </w:pPr>
            <w:r>
              <w:rPr>
                <w:sz w:val="14"/>
              </w:rPr>
              <w:t>6.303% (3.565%, 16.668%)</w:t>
            </w:r>
          </w:p>
        </w:tc>
        <w:tc>
          <w:tcPr>
            <w:tcW w:type="dxa" w:w="1656"/>
            <w:vAlign w:val="center"/>
          </w:tcPr>
          <w:p>
            <w:pPr>
              <w:spacing w:after="0"/>
            </w:pPr>
            <w:r>
              <w:rPr>
                <w:sz w:val="14"/>
              </w:rPr>
              <w:t>12/12 within 8%; PASS</w:t>
            </w:r>
          </w:p>
        </w:tc>
      </w:tr>
      <w:tr>
        <w:tc>
          <w:tcPr>
            <w:tcW w:type="dxa" w:w="1656"/>
            <w:vAlign w:val="center"/>
          </w:tcPr>
          <w:p>
            <w:pPr>
              <w:spacing w:after="0"/>
            </w:pPr>
            <w:r>
              <w:rPr>
                <w:sz w:val="14"/>
              </w:rPr>
              <w:t>Apple M4</w:t>
            </w:r>
          </w:p>
        </w:tc>
        <w:tc>
          <w:tcPr>
            <w:tcW w:type="dxa" w:w="1656"/>
            <w:vAlign w:val="center"/>
          </w:tcPr>
          <w:p>
            <w:pPr>
              <w:spacing w:after="0"/>
            </w:pPr>
            <w:r>
              <w:rPr>
                <w:sz w:val="14"/>
              </w:rPr>
              <w:t>ARM64 / macOS</w:t>
            </w:r>
          </w:p>
        </w:tc>
        <w:tc>
          <w:tcPr>
            <w:tcW w:type="dxa" w:w="1656"/>
            <w:vAlign w:val="center"/>
          </w:tcPr>
          <w:p>
            <w:pPr>
              <w:spacing w:after="0"/>
            </w:pPr>
            <w:r>
              <w:rPr>
                <w:sz w:val="14"/>
              </w:rPr>
              <w:t>Homebrew clang 23.1.0; libomp</w:t>
            </w:r>
          </w:p>
        </w:tc>
        <w:tc>
          <w:tcPr>
            <w:tcW w:type="dxa" w:w="1656"/>
            <w:vAlign w:val="center"/>
          </w:tcPr>
          <w:p>
            <w:pPr>
              <w:spacing w:after="0"/>
            </w:pPr>
            <w:r>
              <w:rPr>
                <w:sz w:val="14"/>
              </w:rPr>
              <w:t>4,194,304 groups; 4 reps; 1/4/8 threads</w:t>
            </w:r>
          </w:p>
        </w:tc>
        <w:tc>
          <w:tcPr>
            <w:tcW w:type="dxa" w:w="1656"/>
            <w:vAlign w:val="center"/>
          </w:tcPr>
          <w:p>
            <w:pPr>
              <w:spacing w:after="0"/>
            </w:pPr>
            <w:r>
              <w:rPr>
                <w:sz w:val="14"/>
              </w:rPr>
              <w:t>6.713% (5.946%, 8.087%)</w:t>
            </w:r>
          </w:p>
        </w:tc>
        <w:tc>
          <w:tcPr>
            <w:tcW w:type="dxa" w:w="1656"/>
            <w:vAlign w:val="center"/>
          </w:tcPr>
          <w:p>
            <w:pPr>
              <w:spacing w:after="0"/>
            </w:pPr>
            <w:r>
              <w:rPr>
                <w:sz w:val="14"/>
              </w:rPr>
              <w:t>12/12 within 8%; PASS</w:t>
            </w:r>
          </w:p>
        </w:tc>
      </w:tr>
    </w:tbl>
    <w:p>
      <w:r>
        <w:t>Apple M4 also passes separate functional checks on the PyTorch MPS and MLX Metal backends. MPS attention-like output is finite with maximum absolute error 5.96e-8 versus CPU. MLX preserves packed INT4 and metadata round trips bit-exactly, with zero maximum dequantization error in the tested sweep over sequence lengths 128, 512, 1024, and 2048. These checks make no performance, end-to-end LLM, physical-memory-mapping, or CPU-versus-GPU comparison claim.</w:t>
      </w:r>
    </w:p>
    <w:sectPr w:rsidR="00FC693F" w:rsidRPr="0006063C" w:rsidSect="00034616">
      <w:footerReference w:type="default" r:id="rId9"/>
      <w:footerReference w:type="first" r:id="rId10"/>
      <w:footerReference w:type="even" r:id="rId11"/>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